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19E2" w14:textId="77777777" w:rsidR="00B80679" w:rsidRDefault="00B80679" w:rsidP="00FF445C">
      <w:r>
        <w:t xml:space="preserve">Section V Definitions of the Town of </w:t>
      </w:r>
      <w:proofErr w:type="spellStart"/>
      <w:smartTag w:uri="urn:schemas-microsoft-com:office:smarttags" w:element="place">
        <w:smartTag w:uri="urn:schemas-microsoft-com:office:smarttags" w:element="City">
          <w:r>
            <w:t>Bourne</w:t>
          </w:r>
          <w:proofErr w:type="spellEnd"/>
          <w:r>
            <w:t xml:space="preserve"> Zoning Bylaw</w:t>
          </w:r>
        </w:smartTag>
      </w:smartTag>
      <w:r>
        <w:t xml:space="preserve"> currently reads:</w:t>
      </w:r>
    </w:p>
    <w:p w14:paraId="6542BB68" w14:textId="77777777" w:rsidR="00B80679" w:rsidRDefault="00B80679" w:rsidP="00FF445C"/>
    <w:p w14:paraId="4C1C697C" w14:textId="77777777" w:rsidR="00B80679" w:rsidRDefault="00B80679" w:rsidP="00FF445C">
      <w:proofErr w:type="spellStart"/>
      <w:r>
        <w:t>Bourne</w:t>
      </w:r>
      <w:proofErr w:type="spellEnd"/>
      <w:r>
        <w:t xml:space="preserve"> Affordable Housing Unit: A dwelling unit for which the </w:t>
      </w:r>
      <w:proofErr w:type="spellStart"/>
      <w:r>
        <w:t>Bourne</w:t>
      </w:r>
      <w:proofErr w:type="spellEnd"/>
      <w:r>
        <w:t xml:space="preserve"> Housing Partnership certifies the following, based upon procedural regulations for implementation of this provision, such regulations to be adopted and from time to time amended following public hearings by that Partnership.</w:t>
      </w:r>
    </w:p>
    <w:p w14:paraId="790798AE" w14:textId="77777777" w:rsidR="00B80679" w:rsidRDefault="00B80679" w:rsidP="00FF445C"/>
    <w:p w14:paraId="337934DC" w14:textId="77777777" w:rsidR="00B80679" w:rsidRDefault="00B80679" w:rsidP="0046769F">
      <w:r>
        <w:t xml:space="preserve">The </w:t>
      </w:r>
      <w:proofErr w:type="spellStart"/>
      <w:r>
        <w:t>Bourne</w:t>
      </w:r>
      <w:proofErr w:type="spellEnd"/>
      <w:r>
        <w:t xml:space="preserve"> Housing Partnership Committee approved the following regulations relative to </w:t>
      </w:r>
      <w:proofErr w:type="spellStart"/>
      <w:r>
        <w:t>Bourne</w:t>
      </w:r>
      <w:proofErr w:type="spellEnd"/>
      <w:r>
        <w:t xml:space="preserve"> Affordable Housing Units at its May 23, 2019 public hearing:</w:t>
      </w:r>
    </w:p>
    <w:p w14:paraId="4BEDBA42" w14:textId="77777777" w:rsidR="00B80679" w:rsidRDefault="00B806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2388"/>
        <w:gridCol w:w="1645"/>
        <w:gridCol w:w="5804"/>
      </w:tblGrid>
      <w:tr w:rsidR="00B80679" w:rsidRPr="0008298B" w14:paraId="2DB086CF" w14:textId="77777777" w:rsidTr="00C172DE">
        <w:trPr>
          <w:trHeight w:val="485"/>
        </w:trPr>
        <w:tc>
          <w:tcPr>
            <w:tcW w:w="1202" w:type="pct"/>
          </w:tcPr>
          <w:p w14:paraId="7A0F43C0" w14:textId="77777777" w:rsidR="00B80679" w:rsidRPr="00C172DE" w:rsidRDefault="00B80679" w:rsidP="00FF445C">
            <w:pPr>
              <w:rPr>
                <w:b/>
                <w:bCs/>
              </w:rPr>
            </w:pPr>
            <w:r w:rsidRPr="00C172DE">
              <w:rPr>
                <w:b/>
                <w:bCs/>
              </w:rPr>
              <w:t>RENTAL UNITS</w:t>
            </w:r>
          </w:p>
        </w:tc>
        <w:tc>
          <w:tcPr>
            <w:tcW w:w="922" w:type="pct"/>
          </w:tcPr>
          <w:p w14:paraId="36A70B6C" w14:textId="77777777" w:rsidR="00B80679" w:rsidRPr="00C172DE" w:rsidRDefault="00B80679" w:rsidP="008A43B1">
            <w:pPr>
              <w:rPr>
                <w:b/>
                <w:bCs/>
              </w:rPr>
            </w:pPr>
          </w:p>
        </w:tc>
        <w:tc>
          <w:tcPr>
            <w:tcW w:w="635" w:type="pct"/>
          </w:tcPr>
          <w:p w14:paraId="416DECA6" w14:textId="77777777" w:rsidR="00B80679" w:rsidRPr="00C172DE" w:rsidRDefault="00B80679" w:rsidP="00244E2C">
            <w:pPr>
              <w:rPr>
                <w:b/>
                <w:bCs/>
              </w:rPr>
            </w:pPr>
          </w:p>
        </w:tc>
        <w:tc>
          <w:tcPr>
            <w:tcW w:w="2241" w:type="pct"/>
          </w:tcPr>
          <w:p w14:paraId="311C81E9" w14:textId="77777777" w:rsidR="00B80679" w:rsidRPr="00C172DE" w:rsidRDefault="00B80679" w:rsidP="006373BE">
            <w:pPr>
              <w:rPr>
                <w:b/>
                <w:bCs/>
              </w:rPr>
            </w:pPr>
          </w:p>
        </w:tc>
      </w:tr>
      <w:tr w:rsidR="00B80679" w:rsidRPr="0008298B" w14:paraId="3EF15218" w14:textId="77777777" w:rsidTr="00C172DE">
        <w:trPr>
          <w:trHeight w:val="1700"/>
        </w:trPr>
        <w:tc>
          <w:tcPr>
            <w:tcW w:w="1202" w:type="pct"/>
          </w:tcPr>
          <w:p w14:paraId="683091C2" w14:textId="77777777" w:rsidR="00B80679" w:rsidRPr="00C172DE" w:rsidRDefault="00B80679" w:rsidP="00FF445C">
            <w:pPr>
              <w:rPr>
                <w:b/>
                <w:bCs/>
              </w:rPr>
            </w:pPr>
            <w:r w:rsidRPr="00C172DE">
              <w:rPr>
                <w:b/>
                <w:bCs/>
              </w:rPr>
              <w:t xml:space="preserve">Number of affordable deed restricted units and location. </w:t>
            </w:r>
          </w:p>
          <w:p w14:paraId="2A54A229" w14:textId="77777777" w:rsidR="00B80679" w:rsidRPr="00C172DE" w:rsidRDefault="00B80679" w:rsidP="00FF445C">
            <w:pPr>
              <w:rPr>
                <w:b/>
                <w:bCs/>
              </w:rPr>
            </w:pPr>
          </w:p>
          <w:p w14:paraId="0BDDBAD7" w14:textId="77777777" w:rsidR="00B80679" w:rsidRPr="00C172DE" w:rsidRDefault="00B80679" w:rsidP="00FF445C">
            <w:pPr>
              <w:rPr>
                <w:b/>
                <w:bCs/>
              </w:rPr>
            </w:pPr>
            <w:r w:rsidRPr="00C172DE">
              <w:rPr>
                <w:b/>
                <w:bCs/>
              </w:rPr>
              <w:t xml:space="preserve">Note: all affordable rental and ownership units must meet the </w:t>
            </w:r>
            <w:smartTag w:uri="urn:schemas-microsoft-com:office:smarttags" w:element="place">
              <w:smartTag w:uri="urn:schemas-microsoft-com:office:smarttags" w:element="State">
                <w:r w:rsidRPr="00C172DE">
                  <w:rPr>
                    <w:b/>
                    <w:bCs/>
                  </w:rPr>
                  <w:t>Massachusetts</w:t>
                </w:r>
              </w:smartTag>
            </w:smartTag>
            <w:r w:rsidRPr="00C172DE">
              <w:rPr>
                <w:b/>
                <w:bCs/>
              </w:rPr>
              <w:t xml:space="preserve"> Local Initiative Program (LIP) program design guidelines unless otherwise noted.</w:t>
            </w:r>
          </w:p>
          <w:p w14:paraId="54558992" w14:textId="77777777" w:rsidR="00B80679" w:rsidRPr="00C172DE" w:rsidRDefault="00B80679">
            <w:pPr>
              <w:rPr>
                <w:b/>
                <w:bCs/>
              </w:rPr>
            </w:pPr>
          </w:p>
          <w:p w14:paraId="708B7A1B" w14:textId="77777777" w:rsidR="00B80679" w:rsidRPr="0008298B" w:rsidRDefault="00B80679"/>
        </w:tc>
        <w:tc>
          <w:tcPr>
            <w:tcW w:w="922" w:type="pct"/>
          </w:tcPr>
          <w:p w14:paraId="31D8565F" w14:textId="77777777" w:rsidR="00B80679" w:rsidRPr="00C172DE" w:rsidRDefault="00B80679" w:rsidP="008A43B1">
            <w:pPr>
              <w:rPr>
                <w:b/>
                <w:bCs/>
              </w:rPr>
            </w:pPr>
            <w:r w:rsidRPr="00C172DE">
              <w:rPr>
                <w:b/>
                <w:bCs/>
              </w:rPr>
              <w:t>Rental Rate</w:t>
            </w:r>
          </w:p>
          <w:p w14:paraId="53763807" w14:textId="77777777" w:rsidR="00B80679" w:rsidRPr="00C172DE" w:rsidRDefault="00B80679" w:rsidP="008A43B1">
            <w:pPr>
              <w:rPr>
                <w:b/>
                <w:bCs/>
              </w:rPr>
            </w:pPr>
          </w:p>
          <w:p w14:paraId="79504340" w14:textId="77777777" w:rsidR="00B80679" w:rsidRPr="00C172DE" w:rsidRDefault="00B80679" w:rsidP="008A43B1">
            <w:pPr>
              <w:rPr>
                <w:b/>
                <w:bCs/>
              </w:rPr>
            </w:pPr>
            <w:r w:rsidRPr="00C172DE">
              <w:rPr>
                <w:b/>
                <w:bCs/>
              </w:rPr>
              <w:t>Not more than the rates listed below.</w:t>
            </w:r>
          </w:p>
          <w:p w14:paraId="1730DEDF" w14:textId="77777777" w:rsidR="00B80679" w:rsidRDefault="00B80679" w:rsidP="0086036A">
            <w:r>
              <w:t>Note: For projects in the GIZ:  If the LIP 70% Rent is greater than the HUD FAIR MARKET RENT</w:t>
            </w:r>
            <w:r w:rsidRPr="0008298B">
              <w:t xml:space="preserve"> </w:t>
            </w:r>
            <w:r>
              <w:t xml:space="preserve">then a lower LIP rent equal to the HUD FAIR MARKET RENT shall be the maximum rent.      </w:t>
            </w:r>
          </w:p>
          <w:p w14:paraId="48E2C4C9" w14:textId="77777777" w:rsidR="00B80679" w:rsidRPr="0008298B" w:rsidRDefault="00B80679"/>
        </w:tc>
        <w:tc>
          <w:tcPr>
            <w:tcW w:w="635" w:type="pct"/>
          </w:tcPr>
          <w:p w14:paraId="3EA44091" w14:textId="77777777" w:rsidR="00B80679" w:rsidRPr="00C172DE" w:rsidRDefault="00B80679" w:rsidP="00244E2C">
            <w:pPr>
              <w:rPr>
                <w:b/>
                <w:bCs/>
              </w:rPr>
            </w:pPr>
            <w:r w:rsidRPr="00C172DE">
              <w:rPr>
                <w:b/>
                <w:bCs/>
              </w:rPr>
              <w:t xml:space="preserve">Town of </w:t>
            </w:r>
            <w:proofErr w:type="spellStart"/>
            <w:smartTag w:uri="urn:schemas-microsoft-com:office:smarttags" w:element="place">
              <w:smartTag w:uri="urn:schemas-microsoft-com:office:smarttags" w:element="City">
                <w:r w:rsidRPr="00C172DE">
                  <w:rPr>
                    <w:b/>
                    <w:bCs/>
                  </w:rPr>
                  <w:t>Bourne</w:t>
                </w:r>
              </w:smartTag>
            </w:smartTag>
            <w:proofErr w:type="spellEnd"/>
            <w:r w:rsidRPr="00C172DE">
              <w:rPr>
                <w:b/>
                <w:bCs/>
              </w:rPr>
              <w:t xml:space="preserve"> and MASS DHCD approved Deeded Restriction.</w:t>
            </w:r>
          </w:p>
          <w:p w14:paraId="3E4DC395" w14:textId="77777777" w:rsidR="00B80679" w:rsidRPr="00C172DE" w:rsidRDefault="00B80679">
            <w:pPr>
              <w:rPr>
                <w:b/>
                <w:bCs/>
              </w:rPr>
            </w:pPr>
          </w:p>
          <w:p w14:paraId="4854FADA" w14:textId="77777777" w:rsidR="00B80679" w:rsidRPr="0008298B" w:rsidRDefault="00B80679">
            <w:r w:rsidRPr="00C172DE">
              <w:rPr>
                <w:b/>
                <w:bCs/>
              </w:rPr>
              <w:t>Term</w:t>
            </w:r>
          </w:p>
        </w:tc>
        <w:tc>
          <w:tcPr>
            <w:tcW w:w="2241" w:type="pct"/>
          </w:tcPr>
          <w:p w14:paraId="7F286139" w14:textId="77777777" w:rsidR="00B80679" w:rsidRPr="002A31F9" w:rsidRDefault="00B80679" w:rsidP="006373BE">
            <w:pPr>
              <w:rPr>
                <w:b/>
                <w:bCs/>
              </w:rPr>
            </w:pPr>
            <w:r w:rsidRPr="002A31F9">
              <w:rPr>
                <w:b/>
                <w:bCs/>
              </w:rPr>
              <w:t>Marketing and monitoring</w:t>
            </w:r>
          </w:p>
          <w:p w14:paraId="4B26B45A" w14:textId="77777777" w:rsidR="00B80679" w:rsidRPr="002A31F9" w:rsidRDefault="00B80679">
            <w:pPr>
              <w:rPr>
                <w:b/>
                <w:bCs/>
              </w:rPr>
            </w:pPr>
          </w:p>
          <w:p w14:paraId="26E1C939" w14:textId="77777777" w:rsidR="00B80679" w:rsidRPr="002A31F9" w:rsidRDefault="00B80679">
            <w:r w:rsidRPr="002A31F9">
              <w:rPr>
                <w:b/>
                <w:bCs/>
              </w:rPr>
              <w:t xml:space="preserve">All tenants must be income eligible individuals or families earning 80% of median household income or less as published by the US Department of Housing and Urban Development in effect for Barnstable County, and meet other eligibility requirements upon initial lease up. </w:t>
            </w:r>
            <w:r w:rsidRPr="002A31F9">
              <w:t>Monitoring in rental properties will include annual reports to the Partnership (or a monitoring agent designated by the Partnership), listing all tenants, and, upon change of tenancy.</w:t>
            </w:r>
          </w:p>
        </w:tc>
      </w:tr>
      <w:tr w:rsidR="00B80679" w:rsidRPr="0008298B" w14:paraId="529FF8DA" w14:textId="77777777" w:rsidTr="00C172DE">
        <w:trPr>
          <w:trHeight w:val="4301"/>
        </w:trPr>
        <w:tc>
          <w:tcPr>
            <w:tcW w:w="1202" w:type="pct"/>
          </w:tcPr>
          <w:p w14:paraId="4AE73A03" w14:textId="77777777" w:rsidR="00B80679" w:rsidRDefault="00B80679" w:rsidP="00BE5D4B">
            <w:r>
              <w:lastRenderedPageBreak/>
              <w:t xml:space="preserve">Properties of </w:t>
            </w:r>
            <w:r w:rsidRPr="0008298B">
              <w:t>1 to 2</w:t>
            </w:r>
            <w:r>
              <w:t xml:space="preserve"> affordable </w:t>
            </w:r>
            <w:r w:rsidRPr="0008298B">
              <w:t>units</w:t>
            </w:r>
            <w:r>
              <w:t>,</w:t>
            </w:r>
            <w:r w:rsidRPr="0008298B">
              <w:t xml:space="preserve"> </w:t>
            </w:r>
            <w:r>
              <w:t>t</w:t>
            </w:r>
            <w:r w:rsidRPr="0008298B">
              <w:t>own wide and in Growth Incentive Zone (GIZ)</w:t>
            </w:r>
            <w:r>
              <w:t>.</w:t>
            </w:r>
          </w:p>
          <w:p w14:paraId="23A95005" w14:textId="77777777" w:rsidR="00B80679" w:rsidRDefault="00B80679" w:rsidP="00BE5D4B"/>
          <w:p w14:paraId="316F9BDF" w14:textId="77777777" w:rsidR="00B80679" w:rsidRDefault="00B80679" w:rsidP="006373BE">
            <w:r>
              <w:t>All affordable units must meet LIP construction standards.</w:t>
            </w:r>
          </w:p>
          <w:p w14:paraId="21BB7B80" w14:textId="77777777" w:rsidR="00B80679" w:rsidRDefault="00B80679" w:rsidP="00BE5D4B"/>
          <w:p w14:paraId="307DADE6" w14:textId="77777777" w:rsidR="00B80679" w:rsidRPr="0008298B" w:rsidRDefault="00B80679" w:rsidP="00BE5D4B">
            <w:r>
              <w:t xml:space="preserve"> </w:t>
            </w:r>
          </w:p>
          <w:p w14:paraId="60852692" w14:textId="77777777" w:rsidR="00B80679" w:rsidRPr="0008298B" w:rsidRDefault="00B80679" w:rsidP="0076247B"/>
          <w:p w14:paraId="6F259CF5" w14:textId="77777777" w:rsidR="00B80679" w:rsidRDefault="00B80679"/>
          <w:p w14:paraId="11034EC1" w14:textId="77777777" w:rsidR="00B80679" w:rsidRDefault="00B80679"/>
          <w:p w14:paraId="46F0FD62" w14:textId="77777777" w:rsidR="00B80679" w:rsidRPr="0008298B" w:rsidRDefault="00B80679"/>
        </w:tc>
        <w:tc>
          <w:tcPr>
            <w:tcW w:w="922" w:type="pct"/>
          </w:tcPr>
          <w:p w14:paraId="26356614" w14:textId="77777777" w:rsidR="00B80679" w:rsidRPr="0008298B" w:rsidRDefault="00B80679">
            <w:r w:rsidRPr="0008298B">
              <w:t xml:space="preserve">LIP </w:t>
            </w:r>
            <w:r>
              <w:t>70% of median rent</w:t>
            </w:r>
            <w:r w:rsidRPr="0008298B">
              <w:t xml:space="preserve"> by unit size adjusted annually and including utilities according to the same scheduled as the </w:t>
            </w:r>
            <w:proofErr w:type="spellStart"/>
            <w:r w:rsidRPr="0008298B">
              <w:t>Bourne</w:t>
            </w:r>
            <w:proofErr w:type="spellEnd"/>
            <w:r w:rsidRPr="0008298B">
              <w:t xml:space="preserve"> Housing Authority</w:t>
            </w:r>
            <w:r>
              <w:t xml:space="preserve">. </w:t>
            </w:r>
          </w:p>
        </w:tc>
        <w:tc>
          <w:tcPr>
            <w:tcW w:w="635" w:type="pct"/>
          </w:tcPr>
          <w:p w14:paraId="6999E00F" w14:textId="77777777" w:rsidR="00B80679" w:rsidRPr="0008298B" w:rsidRDefault="00B80679">
            <w:r w:rsidRPr="0008298B">
              <w:t>Yes – minimum of 30</w:t>
            </w:r>
          </w:p>
          <w:p w14:paraId="4F3594A3" w14:textId="77777777" w:rsidR="00B80679" w:rsidRPr="0008298B" w:rsidRDefault="00B80679">
            <w:r w:rsidRPr="0008298B">
              <w:t>years</w:t>
            </w:r>
          </w:p>
        </w:tc>
        <w:tc>
          <w:tcPr>
            <w:tcW w:w="2241" w:type="pct"/>
          </w:tcPr>
          <w:p w14:paraId="55940E5A" w14:textId="77777777" w:rsidR="00B80679" w:rsidRPr="002A31F9" w:rsidRDefault="00B80679" w:rsidP="00C172DE">
            <w:pPr>
              <w:widowControl w:val="0"/>
              <w:autoSpaceDE w:val="0"/>
              <w:autoSpaceDN w:val="0"/>
              <w:adjustRightInd w:val="0"/>
              <w:rPr>
                <w:rFonts w:ascii="Courier New" w:hAnsi="Courier New" w:cs="Courier New"/>
                <w:b/>
                <w:bCs/>
                <w:sz w:val="20"/>
                <w:szCs w:val="20"/>
              </w:rPr>
            </w:pPr>
            <w:r w:rsidRPr="002A31F9">
              <w:t>1)Tenants may be from a DHCD approved “ready renter list” approved by the Partnership and certified as eligible by the agency managing the ready renter list and monitoring agent approved by the Partnership</w:t>
            </w:r>
            <w:r w:rsidRPr="002A31F9">
              <w:rPr>
                <w:rFonts w:ascii="Courier New" w:hAnsi="Courier New" w:cs="Courier New"/>
                <w:b/>
                <w:bCs/>
                <w:sz w:val="20"/>
                <w:szCs w:val="20"/>
              </w:rPr>
              <w:t xml:space="preserve">2. </w:t>
            </w:r>
          </w:p>
          <w:p w14:paraId="2BF76412" w14:textId="77777777" w:rsidR="00B80679" w:rsidRPr="002A31F9" w:rsidRDefault="00B80679" w:rsidP="00C172DE">
            <w:pPr>
              <w:widowControl w:val="0"/>
              <w:autoSpaceDE w:val="0"/>
              <w:autoSpaceDN w:val="0"/>
              <w:adjustRightInd w:val="0"/>
              <w:rPr>
                <w:b/>
                <w:bCs/>
              </w:rPr>
            </w:pPr>
            <w:r w:rsidRPr="002A31F9">
              <w:t>2)</w:t>
            </w:r>
            <w:r w:rsidRPr="002A31F9">
              <w:rPr>
                <w:b/>
                <w:bCs/>
              </w:rPr>
              <w:t xml:space="preserve"> </w:t>
            </w:r>
            <w:r w:rsidRPr="002A31F9">
              <w:t>Tenants can be found by the owner subject to approval by the Housing Partnership as eligible tenants</w:t>
            </w:r>
            <w:r w:rsidRPr="002A31F9">
              <w:rPr>
                <w:b/>
                <w:bCs/>
              </w:rPr>
              <w:t>.</w:t>
            </w:r>
          </w:p>
          <w:p w14:paraId="4CC6C40E" w14:textId="77777777" w:rsidR="00B80679" w:rsidRPr="002A31F9" w:rsidRDefault="00B80679" w:rsidP="00244E2C">
            <w:r w:rsidRPr="002A31F9">
              <w:t>3) Tenants that hold a Section 8 or Massachusetts Mobile Rental voucher are found to be eligible.</w:t>
            </w:r>
          </w:p>
          <w:p w14:paraId="005C2BCD" w14:textId="77777777" w:rsidR="00B80679" w:rsidRPr="002A31F9" w:rsidRDefault="00B80679" w:rsidP="00EE1ABA"/>
          <w:p w14:paraId="6B08FB5C" w14:textId="77777777" w:rsidR="00B80679" w:rsidRPr="002A31F9" w:rsidRDefault="00B80679" w:rsidP="00EE1ABA">
            <w:r w:rsidRPr="002A31F9">
              <w:t xml:space="preserve">Monitoring will include annual report to the Partnership/or a designated monitoring agent listing all tenants with updated financial eligibility information and, upon change of tenancy.   </w:t>
            </w:r>
          </w:p>
        </w:tc>
      </w:tr>
      <w:tr w:rsidR="00B80679" w:rsidRPr="0008298B" w14:paraId="6CDF179B" w14:textId="77777777" w:rsidTr="00C172DE">
        <w:trPr>
          <w:trHeight w:val="1826"/>
        </w:trPr>
        <w:tc>
          <w:tcPr>
            <w:tcW w:w="1202" w:type="pct"/>
          </w:tcPr>
          <w:p w14:paraId="5E1A91CB" w14:textId="77777777" w:rsidR="00B80679" w:rsidRDefault="00B80679" w:rsidP="000258C5">
            <w:r w:rsidRPr="0008298B">
              <w:t xml:space="preserve">3 or more </w:t>
            </w:r>
            <w:r>
              <w:t xml:space="preserve">affordable </w:t>
            </w:r>
            <w:r w:rsidRPr="0008298B">
              <w:t>units</w:t>
            </w:r>
            <w:r>
              <w:t>,</w:t>
            </w:r>
            <w:r w:rsidRPr="0008298B">
              <w:t xml:space="preserve"> town wide</w:t>
            </w:r>
            <w:r>
              <w:t xml:space="preserve"> (</w:t>
            </w:r>
            <w:r w:rsidRPr="0008298B">
              <w:t>including in the Growth Incentive Zone</w:t>
            </w:r>
            <w:r>
              <w:t>),</w:t>
            </w:r>
            <w:r w:rsidRPr="0008298B">
              <w:t xml:space="preserve"> except that where a project in the GIZ conta</w:t>
            </w:r>
            <w:r>
              <w:t xml:space="preserve">ins more than 55 units in total, </w:t>
            </w:r>
            <w:r w:rsidRPr="0008298B">
              <w:t xml:space="preserve">the GIZ requirements will be in effect. </w:t>
            </w:r>
          </w:p>
          <w:p w14:paraId="3C580757" w14:textId="77777777" w:rsidR="00B80679" w:rsidRDefault="00B80679"/>
          <w:p w14:paraId="181E7258" w14:textId="77777777" w:rsidR="00B80679" w:rsidRPr="0008298B" w:rsidRDefault="00B80679">
            <w:r>
              <w:t>All affordable units must meet LIP construction standards.</w:t>
            </w:r>
            <w:r w:rsidRPr="0008298B">
              <w:t xml:space="preserve"> </w:t>
            </w:r>
          </w:p>
        </w:tc>
        <w:tc>
          <w:tcPr>
            <w:tcW w:w="922" w:type="pct"/>
          </w:tcPr>
          <w:p w14:paraId="6315565C" w14:textId="77777777" w:rsidR="00B80679" w:rsidRPr="0008298B" w:rsidRDefault="00B80679">
            <w:r w:rsidRPr="0008298B">
              <w:t xml:space="preserve">LIP </w:t>
            </w:r>
            <w:r>
              <w:t>70% of median rent</w:t>
            </w:r>
            <w:r w:rsidRPr="0008298B">
              <w:t xml:space="preserve"> by unit size adjusted annually and including utilities according to the same scheduled as the </w:t>
            </w:r>
            <w:proofErr w:type="spellStart"/>
            <w:r w:rsidRPr="0008298B">
              <w:t>Bourne</w:t>
            </w:r>
            <w:proofErr w:type="spellEnd"/>
            <w:r w:rsidRPr="0008298B">
              <w:t xml:space="preserve"> Housing Autho</w:t>
            </w:r>
            <w:r>
              <w:t>rity.</w:t>
            </w:r>
          </w:p>
        </w:tc>
        <w:tc>
          <w:tcPr>
            <w:tcW w:w="635" w:type="pct"/>
          </w:tcPr>
          <w:p w14:paraId="449EF0B2" w14:textId="77777777" w:rsidR="00B80679" w:rsidRPr="0008298B" w:rsidRDefault="00B80679" w:rsidP="008B2587">
            <w:r w:rsidRPr="0008298B">
              <w:t>Yes – minimum of 30</w:t>
            </w:r>
          </w:p>
          <w:p w14:paraId="2084BE5F" w14:textId="77777777" w:rsidR="00B80679" w:rsidRPr="0008298B" w:rsidRDefault="00B80679" w:rsidP="008B2587">
            <w:r w:rsidRPr="0008298B">
              <w:t>years</w:t>
            </w:r>
          </w:p>
        </w:tc>
        <w:tc>
          <w:tcPr>
            <w:tcW w:w="2241" w:type="pct"/>
          </w:tcPr>
          <w:p w14:paraId="1F8816F5" w14:textId="77777777" w:rsidR="00B80679" w:rsidRPr="002A31F9" w:rsidRDefault="00B80679" w:rsidP="000258C5">
            <w:r w:rsidRPr="002A31F9">
              <w:t>All affordable units in projects containing 3 or more affordable housing units must be found eligible for inclusion on the Subsidized Housing Inventory list.</w:t>
            </w:r>
          </w:p>
          <w:p w14:paraId="42E583AE" w14:textId="77777777" w:rsidR="00B80679" w:rsidRPr="002A31F9" w:rsidRDefault="00B80679" w:rsidP="004F3EDC">
            <w:r w:rsidRPr="002A31F9">
              <w:t xml:space="preserve">1) In properties of up to 5 affordable units the initial rent up tenants may be from a DHCD approved “ready renter list” approved by the Partnership and certified as eligible by the agency managing the ready renter list and by a </w:t>
            </w:r>
            <w:proofErr w:type="spellStart"/>
            <w:r w:rsidRPr="002A31F9">
              <w:t>Bourne</w:t>
            </w:r>
            <w:proofErr w:type="spellEnd"/>
            <w:r w:rsidRPr="002A31F9">
              <w:t xml:space="preserve"> approved monitoring agent</w:t>
            </w:r>
          </w:p>
          <w:p w14:paraId="79F97968" w14:textId="77777777" w:rsidR="00B80679" w:rsidRPr="002A31F9" w:rsidRDefault="00B80679" w:rsidP="00711F36">
            <w:r w:rsidRPr="002A31F9">
              <w:t>2) In projects with more than 5 affordable units tenants must be found from a fair marketing process by the owner or an entity hired by the owner. The fair market process and entity implementing the process must be approved by the Partnership and DHCD.</w:t>
            </w:r>
          </w:p>
          <w:p w14:paraId="72B38AC2" w14:textId="77777777" w:rsidR="00B80679" w:rsidRPr="002A31F9" w:rsidRDefault="00B80679">
            <w:r w:rsidRPr="002A31F9">
              <w:t>Monitoring to be provided in accordance with a Partnership and DHCD approved marketing plan, regulatory agreement, and deed restriction.</w:t>
            </w:r>
          </w:p>
        </w:tc>
      </w:tr>
      <w:tr w:rsidR="00B80679" w:rsidRPr="0008298B" w14:paraId="72666B95" w14:textId="77777777" w:rsidTr="00C172DE">
        <w:trPr>
          <w:trHeight w:val="620"/>
        </w:trPr>
        <w:tc>
          <w:tcPr>
            <w:tcW w:w="1202" w:type="pct"/>
          </w:tcPr>
          <w:p w14:paraId="45997B23" w14:textId="77777777" w:rsidR="00B80679" w:rsidRPr="00C172DE" w:rsidRDefault="00B80679" w:rsidP="008A229B">
            <w:pPr>
              <w:rPr>
                <w:b/>
                <w:bCs/>
              </w:rPr>
            </w:pPr>
            <w:r w:rsidRPr="00C172DE">
              <w:rPr>
                <w:b/>
                <w:bCs/>
              </w:rPr>
              <w:lastRenderedPageBreak/>
              <w:t xml:space="preserve">FOR </w:t>
            </w:r>
            <w:smartTag w:uri="urn:schemas-microsoft-com:office:smarttags" w:element="place">
              <w:smartTag w:uri="urn:schemas-microsoft-com:office:smarttags" w:element="City">
                <w:r w:rsidRPr="00C172DE">
                  <w:rPr>
                    <w:b/>
                    <w:bCs/>
                  </w:rPr>
                  <w:t>SALE</w:t>
                </w:r>
              </w:smartTag>
            </w:smartTag>
            <w:r w:rsidRPr="00C172DE">
              <w:rPr>
                <w:b/>
                <w:bCs/>
              </w:rPr>
              <w:t xml:space="preserve"> OWNERSHIP PROPERTIES:</w:t>
            </w:r>
          </w:p>
          <w:p w14:paraId="2C15C1DC" w14:textId="77777777" w:rsidR="00B80679" w:rsidRPr="00C172DE" w:rsidRDefault="00B80679" w:rsidP="004F3EDC">
            <w:pPr>
              <w:rPr>
                <w:b/>
                <w:bCs/>
              </w:rPr>
            </w:pPr>
          </w:p>
        </w:tc>
        <w:tc>
          <w:tcPr>
            <w:tcW w:w="922" w:type="pct"/>
          </w:tcPr>
          <w:p w14:paraId="59BAEE16" w14:textId="77777777" w:rsidR="00B80679" w:rsidRDefault="00B80679"/>
        </w:tc>
        <w:tc>
          <w:tcPr>
            <w:tcW w:w="635" w:type="pct"/>
          </w:tcPr>
          <w:p w14:paraId="734CA1AC" w14:textId="77777777" w:rsidR="00B80679" w:rsidRDefault="00B80679"/>
        </w:tc>
        <w:tc>
          <w:tcPr>
            <w:tcW w:w="2241" w:type="pct"/>
          </w:tcPr>
          <w:p w14:paraId="5DE341F6" w14:textId="77777777" w:rsidR="00B80679" w:rsidRDefault="00B80679"/>
        </w:tc>
      </w:tr>
      <w:tr w:rsidR="00B80679" w:rsidRPr="0008298B" w14:paraId="20CF01EE" w14:textId="77777777" w:rsidTr="00C172DE">
        <w:trPr>
          <w:trHeight w:val="2267"/>
        </w:trPr>
        <w:tc>
          <w:tcPr>
            <w:tcW w:w="1202" w:type="pct"/>
          </w:tcPr>
          <w:p w14:paraId="5E3A1E93" w14:textId="77777777" w:rsidR="00B80679" w:rsidRPr="00C172DE" w:rsidRDefault="00B80679">
            <w:pPr>
              <w:rPr>
                <w:b/>
                <w:bCs/>
              </w:rPr>
            </w:pPr>
          </w:p>
          <w:p w14:paraId="76B3D985" w14:textId="77777777" w:rsidR="00B80679" w:rsidRPr="00C172DE" w:rsidRDefault="00B80679">
            <w:pPr>
              <w:rPr>
                <w:b/>
                <w:bCs/>
              </w:rPr>
            </w:pPr>
            <w:r w:rsidRPr="00C172DE">
              <w:rPr>
                <w:b/>
                <w:bCs/>
              </w:rPr>
              <w:t>New Construction</w:t>
            </w:r>
          </w:p>
          <w:p w14:paraId="6CACC7A3" w14:textId="77777777" w:rsidR="00B80679" w:rsidRPr="00C172DE" w:rsidRDefault="00B80679">
            <w:pPr>
              <w:rPr>
                <w:b/>
                <w:bCs/>
              </w:rPr>
            </w:pPr>
          </w:p>
          <w:p w14:paraId="3B73B007" w14:textId="77777777" w:rsidR="00B80679" w:rsidRPr="00C172DE" w:rsidRDefault="00B80679">
            <w:pPr>
              <w:rPr>
                <w:b/>
                <w:bCs/>
              </w:rPr>
            </w:pPr>
            <w:r>
              <w:t>Must meet LIP construction standards</w:t>
            </w:r>
          </w:p>
        </w:tc>
        <w:tc>
          <w:tcPr>
            <w:tcW w:w="922" w:type="pct"/>
          </w:tcPr>
          <w:p w14:paraId="6034C11A" w14:textId="77777777" w:rsidR="00B80679" w:rsidRPr="0008298B" w:rsidRDefault="00B80679">
            <w:r>
              <w:t xml:space="preserve">Sale Price set for households at 70% of median household income by LIP Formula </w:t>
            </w:r>
          </w:p>
        </w:tc>
        <w:tc>
          <w:tcPr>
            <w:tcW w:w="635" w:type="pct"/>
          </w:tcPr>
          <w:p w14:paraId="62E0E400" w14:textId="77777777" w:rsidR="00B80679" w:rsidRPr="0008298B" w:rsidRDefault="00B80679">
            <w:r>
              <w:t>In Perpetuity</w:t>
            </w:r>
          </w:p>
        </w:tc>
        <w:tc>
          <w:tcPr>
            <w:tcW w:w="2241" w:type="pct"/>
          </w:tcPr>
          <w:p w14:paraId="6897C0DE" w14:textId="77777777" w:rsidR="00B80679" w:rsidRPr="0008298B" w:rsidRDefault="00B80679">
            <w:r w:rsidRPr="002A31F9">
              <w:rPr>
                <w:b/>
                <w:bCs/>
              </w:rPr>
              <w:t xml:space="preserve">Buyers must be income eligible individuals or families earning 80% of median household income or less as published by the </w:t>
            </w:r>
            <w:smartTag w:uri="urn:schemas-microsoft-com:office:smarttags" w:element="country-region">
              <w:r w:rsidRPr="002A31F9">
                <w:rPr>
                  <w:b/>
                  <w:bCs/>
                </w:rPr>
                <w:t>US</w:t>
              </w:r>
            </w:smartTag>
            <w:r w:rsidRPr="002A31F9">
              <w:rPr>
                <w:b/>
                <w:bCs/>
              </w:rPr>
              <w:t xml:space="preserve"> Department of Housing and Urban Development in effect for </w:t>
            </w:r>
            <w:smartTag w:uri="urn:schemas-microsoft-com:office:smarttags" w:element="PlaceName">
              <w:smartTag w:uri="urn:schemas-microsoft-com:office:smarttags" w:element="place">
                <w:r w:rsidRPr="002A31F9">
                  <w:rPr>
                    <w:b/>
                    <w:bCs/>
                  </w:rPr>
                  <w:t>Barnstable</w:t>
                </w:r>
              </w:smartTag>
              <w:r w:rsidRPr="002A31F9">
                <w:rPr>
                  <w:b/>
                  <w:bCs/>
                </w:rPr>
                <w:t xml:space="preserve"> </w:t>
              </w:r>
              <w:smartTag w:uri="urn:schemas-microsoft-com:office:smarttags" w:element="PlaceType">
                <w:r w:rsidRPr="002A31F9">
                  <w:rPr>
                    <w:b/>
                    <w:bCs/>
                  </w:rPr>
                  <w:t>County</w:t>
                </w:r>
              </w:smartTag>
            </w:smartTag>
            <w:r w:rsidRPr="002A31F9">
              <w:rPr>
                <w:b/>
                <w:bCs/>
              </w:rPr>
              <w:t xml:space="preserve">, and meet other eligibility requirements upon initial purchase. </w:t>
            </w:r>
            <w:smartTag w:uri="urn:schemas-microsoft-com:office:smarttags" w:element="place">
              <w:smartTag w:uri="urn:schemas-microsoft-com:office:smarttags" w:element="City">
                <w:r w:rsidRPr="002A31F9">
                  <w:t>Sale</w:t>
                </w:r>
              </w:smartTag>
            </w:smartTag>
            <w:r w:rsidRPr="002A31F9">
              <w:t xml:space="preserve"> process is to be  in accordance with LIP</w:t>
            </w:r>
            <w:r>
              <w:t xml:space="preserve"> Guidelines and approved by DHCD for inclusion in the SHI</w:t>
            </w:r>
          </w:p>
        </w:tc>
      </w:tr>
      <w:tr w:rsidR="00B80679" w:rsidRPr="0008298B" w14:paraId="01BEE79E" w14:textId="77777777" w:rsidTr="00C172DE">
        <w:trPr>
          <w:trHeight w:val="2267"/>
        </w:trPr>
        <w:tc>
          <w:tcPr>
            <w:tcW w:w="1202" w:type="pct"/>
          </w:tcPr>
          <w:p w14:paraId="4089D5E9" w14:textId="77777777" w:rsidR="00B80679" w:rsidRPr="00C172DE" w:rsidRDefault="00B80679">
            <w:pPr>
              <w:rPr>
                <w:b/>
                <w:bCs/>
              </w:rPr>
            </w:pPr>
            <w:r w:rsidRPr="00C172DE">
              <w:rPr>
                <w:b/>
                <w:bCs/>
              </w:rPr>
              <w:t>Resale of Deed Restricted Ownership Properties</w:t>
            </w:r>
          </w:p>
        </w:tc>
        <w:tc>
          <w:tcPr>
            <w:tcW w:w="922" w:type="pct"/>
          </w:tcPr>
          <w:p w14:paraId="02E02C4E" w14:textId="77777777" w:rsidR="00B80679" w:rsidRDefault="00B80679">
            <w:r>
              <w:t>PER DEED RIDER*</w:t>
            </w:r>
          </w:p>
        </w:tc>
        <w:tc>
          <w:tcPr>
            <w:tcW w:w="635" w:type="pct"/>
          </w:tcPr>
          <w:p w14:paraId="6D106BF3" w14:textId="77777777" w:rsidR="00B80679" w:rsidRDefault="00B80679">
            <w:r>
              <w:t>PER DEED RIDER*</w:t>
            </w:r>
          </w:p>
        </w:tc>
        <w:tc>
          <w:tcPr>
            <w:tcW w:w="2241" w:type="pct"/>
          </w:tcPr>
          <w:p w14:paraId="2A0A2B4A" w14:textId="77777777" w:rsidR="00B80679" w:rsidRDefault="00B80679" w:rsidP="0074018C">
            <w:r>
              <w:t xml:space="preserve">PER DEED RIDER*. </w:t>
            </w:r>
          </w:p>
          <w:p w14:paraId="632B708D" w14:textId="77777777" w:rsidR="00B80679" w:rsidRDefault="00B80679"/>
          <w:p w14:paraId="1489B3AE" w14:textId="77777777" w:rsidR="00B80679" w:rsidRDefault="00B80679">
            <w:r>
              <w:t xml:space="preserve">*Where older deed riders are in place, the Partnership will encourage a change to the newer “universal deed rider”. </w:t>
            </w:r>
          </w:p>
        </w:tc>
      </w:tr>
    </w:tbl>
    <w:p w14:paraId="13C83DDE" w14:textId="77777777" w:rsidR="00B80679" w:rsidRDefault="00B80679"/>
    <w:p w14:paraId="03FA1A3D" w14:textId="77777777" w:rsidR="00B80679" w:rsidRDefault="00B80679"/>
    <w:p w14:paraId="2CCD3D33" w14:textId="77777777" w:rsidR="00B80679" w:rsidRDefault="00B80679" w:rsidP="00894914">
      <w:pPr>
        <w:rPr>
          <w:b/>
          <w:bCs/>
        </w:rPr>
      </w:pPr>
    </w:p>
    <w:p w14:paraId="58B1995B" w14:textId="77777777" w:rsidR="00B80679" w:rsidRDefault="00B80679" w:rsidP="006A1680">
      <w:pPr>
        <w:rPr>
          <w:rFonts w:ascii="&amp;quot" w:hAnsi="&amp;quot"/>
          <w:color w:val="000000"/>
          <w:sz w:val="25"/>
          <w:szCs w:val="25"/>
        </w:rPr>
      </w:pPr>
    </w:p>
    <w:p w14:paraId="30550B01" w14:textId="77777777" w:rsidR="00B80679" w:rsidRDefault="00B80679" w:rsidP="006A1680">
      <w:pPr>
        <w:jc w:val="center"/>
        <w:rPr>
          <w:rFonts w:ascii="&amp;quot" w:hAnsi="&amp;quot"/>
          <w:color w:val="000000"/>
          <w:sz w:val="25"/>
          <w:szCs w:val="25"/>
        </w:rPr>
      </w:pPr>
      <w:proofErr w:type="spellStart"/>
      <w:r>
        <w:rPr>
          <w:rFonts w:ascii="&amp;quot" w:hAnsi="&amp;quot"/>
          <w:color w:val="000000"/>
          <w:sz w:val="25"/>
          <w:szCs w:val="25"/>
        </w:rPr>
        <w:t>Bourne</w:t>
      </w:r>
      <w:proofErr w:type="spellEnd"/>
      <w:r>
        <w:rPr>
          <w:rFonts w:ascii="&amp;quot" w:hAnsi="&amp;quot"/>
          <w:color w:val="000000"/>
          <w:sz w:val="25"/>
          <w:szCs w:val="25"/>
        </w:rPr>
        <w:t xml:space="preserve"> Affordable Housing Unit Requirements *</w:t>
      </w:r>
    </w:p>
    <w:p w14:paraId="6C3880AC" w14:textId="7921D969" w:rsidR="00B80679" w:rsidRDefault="00B80679" w:rsidP="006A1680">
      <w:pPr>
        <w:rPr>
          <w:rFonts w:ascii="&amp;quot" w:hAnsi="&amp;quot"/>
          <w:color w:val="000000"/>
          <w:sz w:val="25"/>
          <w:szCs w:val="25"/>
        </w:rPr>
      </w:pPr>
    </w:p>
    <w:p w14:paraId="4EAD263E" w14:textId="77777777" w:rsidR="00B80679" w:rsidRDefault="00B80679" w:rsidP="006A1680">
      <w:pPr>
        <w:rPr>
          <w:rFonts w:ascii="&amp;quot" w:hAnsi="&amp;quot"/>
          <w:color w:val="000000"/>
          <w:sz w:val="25"/>
          <w:szCs w:val="25"/>
        </w:rPr>
      </w:pPr>
      <w:r>
        <w:rPr>
          <w:rFonts w:ascii="&amp;quot" w:hAnsi="&amp;quot"/>
          <w:color w:val="000000"/>
          <w:sz w:val="25"/>
          <w:szCs w:val="25"/>
        </w:rPr>
        <w:t> </w:t>
      </w:r>
    </w:p>
    <w:p w14:paraId="63A0F7C1" w14:textId="77777777" w:rsidR="00B80679" w:rsidRDefault="00B80679" w:rsidP="0044562F">
      <w:pPr>
        <w:rPr>
          <w:rFonts w:ascii="&amp;quot" w:hAnsi="&amp;quot"/>
          <w:color w:val="000000"/>
          <w:sz w:val="25"/>
          <w:szCs w:val="25"/>
        </w:rPr>
      </w:pPr>
      <w:r>
        <w:rPr>
          <w:rFonts w:ascii="&amp;quot" w:hAnsi="&amp;quot"/>
          <w:color w:val="000000"/>
          <w:sz w:val="25"/>
          <w:szCs w:val="25"/>
        </w:rPr>
        <w:t xml:space="preserve">The Maximum Sale Price for New Single Family Homes is determined by the Massachusetts Department of Communities and Development and/or the </w:t>
      </w:r>
      <w:proofErr w:type="spellStart"/>
      <w:r>
        <w:rPr>
          <w:rFonts w:ascii="&amp;quot" w:hAnsi="&amp;quot"/>
          <w:color w:val="000000"/>
          <w:sz w:val="25"/>
          <w:szCs w:val="25"/>
        </w:rPr>
        <w:t>Bourne</w:t>
      </w:r>
      <w:proofErr w:type="spellEnd"/>
      <w:r>
        <w:rPr>
          <w:rFonts w:ascii="&amp;quot" w:hAnsi="&amp;quot"/>
          <w:color w:val="000000"/>
          <w:sz w:val="25"/>
          <w:szCs w:val="25"/>
        </w:rPr>
        <w:t xml:space="preserve"> Housing Partnership prior to the beginning of marketing. The maximum sale price is based on what a hypothetical family earning 70% of the median household income by family size for </w:t>
      </w:r>
      <w:smartTag w:uri="urn:schemas-microsoft-com:office:smarttags" w:element="PlaceType">
        <w:smartTag w:uri="urn:schemas-microsoft-com:office:smarttags" w:element="PlaceName">
          <w:smartTag w:uri="urn:schemas-microsoft-com:office:smarttags" w:element="place">
            <w:r>
              <w:rPr>
                <w:rFonts w:ascii="&amp;quot" w:hAnsi="&amp;quot"/>
                <w:color w:val="000000"/>
                <w:sz w:val="25"/>
                <w:szCs w:val="25"/>
              </w:rPr>
              <w:t>Barnstable</w:t>
            </w:r>
          </w:smartTag>
        </w:smartTag>
        <w:r>
          <w:rPr>
            <w:rFonts w:ascii="&amp;quot" w:hAnsi="&amp;quot"/>
            <w:color w:val="000000"/>
            <w:sz w:val="25"/>
            <w:szCs w:val="25"/>
          </w:rPr>
          <w:t xml:space="preserve"> </w:t>
        </w:r>
        <w:smartTag w:uri="urn:schemas-microsoft-com:office:smarttags" w:element="PlaceType">
          <w:r>
            <w:rPr>
              <w:rFonts w:ascii="&amp;quot" w:hAnsi="&amp;quot"/>
              <w:color w:val="000000"/>
              <w:sz w:val="25"/>
              <w:szCs w:val="25"/>
            </w:rPr>
            <w:t>County</w:t>
          </w:r>
        </w:smartTag>
      </w:smartTag>
      <w:r>
        <w:rPr>
          <w:rFonts w:ascii="&amp;quot" w:hAnsi="&amp;quot"/>
          <w:color w:val="000000"/>
          <w:sz w:val="25"/>
          <w:szCs w:val="25"/>
        </w:rPr>
        <w:t xml:space="preserve"> can afford using 30% of their adjusted gross income. A two bedroom home is based on a 3 person family and a 4 person family for a 3 bedroom home. The calculation for maximum sale price considers current Freddie Mac interest rates for a 30 year fixed rate mortgage, tax rates, and insurances. The Maximum Sale price for condominiums is also affected by the monthly condo fee. Re-sales prices are </w:t>
      </w:r>
      <w:r>
        <w:rPr>
          <w:rFonts w:ascii="&amp;quot" w:hAnsi="&amp;quot"/>
          <w:color w:val="000000"/>
          <w:sz w:val="25"/>
          <w:szCs w:val="25"/>
        </w:rPr>
        <w:lastRenderedPageBreak/>
        <w:t xml:space="preserve">derived from the formula provided in the Affordability Deed Restriction. There sale price for affordable units must be calculated on a case by case basis. </w:t>
      </w:r>
    </w:p>
    <w:p w14:paraId="314DA226" w14:textId="3706307B" w:rsidR="00B80679" w:rsidRDefault="00B80679" w:rsidP="0044562F">
      <w:pPr>
        <w:rPr>
          <w:rFonts w:ascii="&amp;quot" w:hAnsi="&amp;quot"/>
          <w:color w:val="000000"/>
          <w:sz w:val="25"/>
          <w:szCs w:val="25"/>
        </w:rPr>
      </w:pPr>
      <w:r w:rsidRPr="00225EB9">
        <w:rPr>
          <w:rFonts w:ascii="&amp;quot" w:hAnsi="&amp;quot"/>
          <w:b/>
          <w:bCs/>
          <w:color w:val="000000"/>
          <w:sz w:val="25"/>
          <w:szCs w:val="25"/>
        </w:rPr>
        <w:t>20</w:t>
      </w:r>
      <w:r>
        <w:rPr>
          <w:rFonts w:ascii="&amp;quot" w:hAnsi="&amp;quot"/>
          <w:b/>
          <w:bCs/>
          <w:color w:val="000000"/>
          <w:sz w:val="25"/>
          <w:szCs w:val="25"/>
        </w:rPr>
        <w:t>2</w:t>
      </w:r>
      <w:r w:rsidR="00AC3893">
        <w:rPr>
          <w:rFonts w:ascii="&amp;quot" w:hAnsi="&amp;quot"/>
          <w:b/>
          <w:bCs/>
          <w:color w:val="000000"/>
          <w:sz w:val="25"/>
          <w:szCs w:val="25"/>
        </w:rPr>
        <w:t>2</w:t>
      </w:r>
      <w:r w:rsidRPr="00225EB9">
        <w:rPr>
          <w:rFonts w:ascii="&amp;quot" w:hAnsi="&amp;quot"/>
          <w:b/>
          <w:bCs/>
          <w:color w:val="000000"/>
          <w:sz w:val="25"/>
          <w:szCs w:val="25"/>
        </w:rPr>
        <w:t xml:space="preserve"> Median Household </w:t>
      </w:r>
      <w:r>
        <w:rPr>
          <w:rFonts w:ascii="&amp;quot" w:hAnsi="&amp;quot"/>
          <w:b/>
          <w:bCs/>
          <w:color w:val="000000"/>
          <w:sz w:val="25"/>
          <w:szCs w:val="25"/>
        </w:rPr>
        <w:t>I</w:t>
      </w:r>
      <w:r w:rsidRPr="00225EB9">
        <w:rPr>
          <w:rFonts w:ascii="&amp;quot" w:hAnsi="&amp;quot"/>
          <w:b/>
          <w:bCs/>
          <w:color w:val="000000"/>
          <w:sz w:val="25"/>
          <w:szCs w:val="25"/>
        </w:rPr>
        <w:t xml:space="preserve">ncome for Barnstable </w:t>
      </w:r>
      <w:r>
        <w:rPr>
          <w:rFonts w:ascii="&amp;quot" w:hAnsi="&amp;quot"/>
          <w:b/>
          <w:bCs/>
          <w:color w:val="000000"/>
          <w:sz w:val="25"/>
          <w:szCs w:val="25"/>
        </w:rPr>
        <w:t>County is $</w:t>
      </w:r>
      <w:r w:rsidR="00AC3893">
        <w:rPr>
          <w:rFonts w:ascii="&amp;quot" w:hAnsi="&amp;quot"/>
          <w:b/>
          <w:bCs/>
          <w:color w:val="000000"/>
          <w:sz w:val="25"/>
          <w:szCs w:val="25"/>
        </w:rPr>
        <w:t>115,600</w:t>
      </w:r>
      <w:r>
        <w:rPr>
          <w:rFonts w:ascii="&amp;quot" w:hAnsi="&amp;quot"/>
          <w:color w:val="000000"/>
          <w:sz w:val="25"/>
          <w:szCs w:val="25"/>
        </w:rPr>
        <w:t xml:space="preserve">. Below are incomes at 80% of median income by family size for </w:t>
      </w:r>
      <w:smartTag w:uri="urn:schemas-microsoft-com:office:smarttags" w:element="place">
        <w:smartTag w:uri="urn:schemas-microsoft-com:office:smarttags" w:element="PlaceName">
          <w:r>
            <w:rPr>
              <w:rFonts w:ascii="&amp;quot" w:hAnsi="&amp;quot"/>
              <w:color w:val="000000"/>
              <w:sz w:val="25"/>
              <w:szCs w:val="25"/>
            </w:rPr>
            <w:t>Barnstable</w:t>
          </w:r>
        </w:smartTag>
        <w:r>
          <w:rPr>
            <w:rFonts w:ascii="&amp;quot" w:hAnsi="&amp;quot"/>
            <w:color w:val="000000"/>
            <w:sz w:val="25"/>
            <w:szCs w:val="25"/>
          </w:rPr>
          <w:t xml:space="preserve"> </w:t>
        </w:r>
        <w:smartTag w:uri="urn:schemas-microsoft-com:office:smarttags" w:element="PlaceType">
          <w:r>
            <w:rPr>
              <w:rFonts w:ascii="&amp;quot" w:hAnsi="&amp;quot"/>
              <w:color w:val="000000"/>
              <w:sz w:val="25"/>
              <w:szCs w:val="25"/>
            </w:rPr>
            <w:t>County</w:t>
          </w:r>
        </w:smartTag>
      </w:smartTag>
      <w:r>
        <w:rPr>
          <w:rFonts w:ascii="&amp;quot" w:hAnsi="&amp;quot"/>
          <w:color w:val="000000"/>
          <w:sz w:val="25"/>
          <w:szCs w:val="25"/>
        </w:rPr>
        <w:t xml:space="preserve"> (</w:t>
      </w:r>
      <w:proofErr w:type="spellStart"/>
      <w:r>
        <w:rPr>
          <w:rFonts w:ascii="&amp;quot" w:hAnsi="&amp;quot"/>
          <w:color w:val="000000"/>
          <w:sz w:val="25"/>
          <w:szCs w:val="25"/>
        </w:rPr>
        <w:t>Bourne</w:t>
      </w:r>
      <w:proofErr w:type="spellEnd"/>
      <w:r>
        <w:rPr>
          <w:rFonts w:ascii="&amp;quot" w:hAnsi="&amp;quot"/>
          <w:color w:val="000000"/>
          <w:sz w:val="25"/>
          <w:szCs w:val="25"/>
        </w:rPr>
        <w:t xml:space="preserve"> uses these incomes and 80% of median is often the maximum income for eligibility for many housing programs).  </w:t>
      </w:r>
    </w:p>
    <w:p w14:paraId="0A524906" w14:textId="77777777" w:rsidR="00B80679" w:rsidRDefault="00B80679" w:rsidP="006A1680">
      <w:pPr>
        <w:rPr>
          <w:rFonts w:ascii="&amp;quot" w:hAnsi="&amp;quot"/>
          <w:color w:val="000000"/>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03"/>
        <w:gridCol w:w="1304"/>
        <w:gridCol w:w="1304"/>
        <w:gridCol w:w="1304"/>
        <w:gridCol w:w="1304"/>
        <w:gridCol w:w="1304"/>
      </w:tblGrid>
      <w:tr w:rsidR="00B80679" w14:paraId="1D2D6D6F" w14:textId="77777777" w:rsidTr="00A2035A">
        <w:trPr>
          <w:trHeight w:val="632"/>
        </w:trPr>
        <w:tc>
          <w:tcPr>
            <w:tcW w:w="1393" w:type="dxa"/>
          </w:tcPr>
          <w:p w14:paraId="11C82E05" w14:textId="77777777"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Persons in Household</w:t>
            </w:r>
          </w:p>
        </w:tc>
        <w:tc>
          <w:tcPr>
            <w:tcW w:w="1303" w:type="dxa"/>
          </w:tcPr>
          <w:p w14:paraId="479A2A31" w14:textId="77777777"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1</w:t>
            </w:r>
          </w:p>
        </w:tc>
        <w:tc>
          <w:tcPr>
            <w:tcW w:w="1304" w:type="dxa"/>
          </w:tcPr>
          <w:p w14:paraId="0051725F" w14:textId="77777777"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2</w:t>
            </w:r>
          </w:p>
        </w:tc>
        <w:tc>
          <w:tcPr>
            <w:tcW w:w="1304" w:type="dxa"/>
          </w:tcPr>
          <w:p w14:paraId="4F9D4E73" w14:textId="77777777"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3</w:t>
            </w:r>
          </w:p>
        </w:tc>
        <w:tc>
          <w:tcPr>
            <w:tcW w:w="1304" w:type="dxa"/>
          </w:tcPr>
          <w:p w14:paraId="60D7647F" w14:textId="77777777"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4</w:t>
            </w:r>
          </w:p>
        </w:tc>
        <w:tc>
          <w:tcPr>
            <w:tcW w:w="1304" w:type="dxa"/>
          </w:tcPr>
          <w:p w14:paraId="423758BE" w14:textId="77777777"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5</w:t>
            </w:r>
          </w:p>
        </w:tc>
        <w:tc>
          <w:tcPr>
            <w:tcW w:w="1304" w:type="dxa"/>
          </w:tcPr>
          <w:p w14:paraId="60544D7C" w14:textId="77777777"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6</w:t>
            </w:r>
          </w:p>
        </w:tc>
      </w:tr>
      <w:tr w:rsidR="00B80679" w14:paraId="056C5223" w14:textId="77777777" w:rsidTr="00A2035A">
        <w:trPr>
          <w:trHeight w:val="498"/>
        </w:trPr>
        <w:tc>
          <w:tcPr>
            <w:tcW w:w="1393" w:type="dxa"/>
          </w:tcPr>
          <w:p w14:paraId="72CBF790" w14:textId="77777777"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Maximum Income (80% of median</w:t>
            </w:r>
          </w:p>
        </w:tc>
        <w:tc>
          <w:tcPr>
            <w:tcW w:w="1303" w:type="dxa"/>
          </w:tcPr>
          <w:p w14:paraId="15E55104" w14:textId="083539F6"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AC3893">
              <w:rPr>
                <w:rFonts w:ascii="Calibri" w:hAnsi="Calibri"/>
                <w:b/>
                <w:bCs/>
                <w:w w:val="109"/>
                <w:sz w:val="21"/>
                <w:szCs w:val="21"/>
                <w:lang w:bidi="he-IL"/>
              </w:rPr>
              <w:t>60,900</w:t>
            </w:r>
          </w:p>
        </w:tc>
        <w:tc>
          <w:tcPr>
            <w:tcW w:w="1304" w:type="dxa"/>
          </w:tcPr>
          <w:p w14:paraId="1961CA1E" w14:textId="1C7C7506"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AC3893">
              <w:rPr>
                <w:rFonts w:ascii="Calibri" w:hAnsi="Calibri"/>
                <w:b/>
                <w:bCs/>
                <w:w w:val="109"/>
                <w:sz w:val="21"/>
                <w:szCs w:val="21"/>
                <w:lang w:bidi="he-IL"/>
              </w:rPr>
              <w:t>69,600</w:t>
            </w:r>
          </w:p>
        </w:tc>
        <w:tc>
          <w:tcPr>
            <w:tcW w:w="1304" w:type="dxa"/>
          </w:tcPr>
          <w:p w14:paraId="57939533" w14:textId="787C0230"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AC3893">
              <w:rPr>
                <w:rFonts w:ascii="Calibri" w:hAnsi="Calibri"/>
                <w:b/>
                <w:bCs/>
                <w:w w:val="109"/>
                <w:sz w:val="21"/>
                <w:szCs w:val="21"/>
                <w:lang w:bidi="he-IL"/>
              </w:rPr>
              <w:t>78,300</w:t>
            </w:r>
          </w:p>
        </w:tc>
        <w:tc>
          <w:tcPr>
            <w:tcW w:w="1304" w:type="dxa"/>
          </w:tcPr>
          <w:p w14:paraId="53CF9720" w14:textId="4FD18E1C"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AC3893">
              <w:rPr>
                <w:rFonts w:ascii="Calibri" w:hAnsi="Calibri"/>
                <w:b/>
                <w:bCs/>
                <w:w w:val="109"/>
                <w:sz w:val="21"/>
                <w:szCs w:val="21"/>
                <w:lang w:bidi="he-IL"/>
              </w:rPr>
              <w:t>86,950</w:t>
            </w:r>
          </w:p>
        </w:tc>
        <w:tc>
          <w:tcPr>
            <w:tcW w:w="1304" w:type="dxa"/>
          </w:tcPr>
          <w:p w14:paraId="5DE5790B" w14:textId="701C1646"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AC3893">
              <w:rPr>
                <w:rFonts w:ascii="Calibri" w:hAnsi="Calibri"/>
                <w:b/>
                <w:bCs/>
                <w:w w:val="109"/>
                <w:sz w:val="21"/>
                <w:szCs w:val="21"/>
                <w:lang w:bidi="he-IL"/>
              </w:rPr>
              <w:t>93,950</w:t>
            </w:r>
          </w:p>
        </w:tc>
        <w:tc>
          <w:tcPr>
            <w:tcW w:w="1304" w:type="dxa"/>
          </w:tcPr>
          <w:p w14:paraId="476193B5" w14:textId="143DABAC" w:rsidR="00B80679" w:rsidRDefault="00B80679" w:rsidP="00A2035A">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AC3893">
              <w:rPr>
                <w:rFonts w:ascii="Calibri" w:hAnsi="Calibri"/>
                <w:b/>
                <w:bCs/>
                <w:w w:val="109"/>
                <w:sz w:val="21"/>
                <w:szCs w:val="21"/>
                <w:lang w:bidi="he-IL"/>
              </w:rPr>
              <w:t>100,900</w:t>
            </w:r>
          </w:p>
        </w:tc>
      </w:tr>
    </w:tbl>
    <w:p w14:paraId="2797B1DA" w14:textId="701E94B4" w:rsidR="00B80679" w:rsidRDefault="00B80679" w:rsidP="00AE75AC">
      <w:r>
        <w:rPr>
          <w:rFonts w:ascii="&amp;quot" w:hAnsi="&amp;quot"/>
          <w:color w:val="000000"/>
          <w:sz w:val="25"/>
          <w:szCs w:val="25"/>
        </w:rPr>
        <w:t xml:space="preserve">Family of 7= </w:t>
      </w:r>
      <w:r w:rsidR="00AC3893">
        <w:t>$138,700</w:t>
      </w:r>
      <w:r>
        <w:t>; Family of 8 = $1</w:t>
      </w:r>
      <w:r w:rsidR="00AC3893">
        <w:t>47,650</w:t>
      </w:r>
    </w:p>
    <w:p w14:paraId="018EC753" w14:textId="77777777" w:rsidR="00B80679" w:rsidRPr="00225EB9" w:rsidRDefault="00B80679" w:rsidP="006A1680">
      <w:pPr>
        <w:tabs>
          <w:tab w:val="left" w:pos="1574"/>
        </w:tabs>
      </w:pPr>
      <w:r>
        <w:tab/>
      </w:r>
    </w:p>
    <w:p w14:paraId="5D81676F" w14:textId="77777777" w:rsidR="00B80679" w:rsidRDefault="00B80679" w:rsidP="006A1680">
      <w:pPr>
        <w:rPr>
          <w:rFonts w:ascii="&amp;quot" w:hAnsi="&amp;quot"/>
          <w:color w:val="000000"/>
          <w:sz w:val="25"/>
          <w:szCs w:val="25"/>
        </w:rPr>
      </w:pPr>
    </w:p>
    <w:p w14:paraId="4869F494" w14:textId="77777777" w:rsidR="00B80679" w:rsidRDefault="00B80679" w:rsidP="006A1680">
      <w:pPr>
        <w:rPr>
          <w:rFonts w:ascii="&amp;quot" w:hAnsi="&amp;quot"/>
          <w:color w:val="000000"/>
          <w:sz w:val="25"/>
          <w:szCs w:val="25"/>
        </w:rPr>
      </w:pPr>
    </w:p>
    <w:p w14:paraId="23D89C3F" w14:textId="77777777" w:rsidR="00B80679" w:rsidRDefault="00B80679" w:rsidP="006A1680">
      <w:r>
        <w:t xml:space="preserve">*All rents, maximum sale prices, utility allowances, and eligibility criteria are subject to approval by the Massachusetts Department of Communities and Development. </w:t>
      </w:r>
    </w:p>
    <w:p w14:paraId="47EEE57E" w14:textId="77777777" w:rsidR="00B80679" w:rsidRDefault="00B80679" w:rsidP="006A1680"/>
    <w:p w14:paraId="32E6ECFD" w14:textId="77777777" w:rsidR="00B80679" w:rsidRPr="00894914" w:rsidRDefault="00B80679" w:rsidP="00894914">
      <w:pPr>
        <w:rPr>
          <w:b/>
          <w:bCs/>
        </w:rPr>
      </w:pPr>
    </w:p>
    <w:sectPr w:rsidR="00B80679" w:rsidRPr="00894914" w:rsidSect="004C6C08">
      <w:headerReference w:type="default" r:id="rId7"/>
      <w:pgSz w:w="15840" w:h="12240" w:orient="landscape"/>
      <w:pgMar w:top="18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1A95" w14:textId="77777777" w:rsidR="00252984" w:rsidRDefault="00252984">
      <w:r>
        <w:separator/>
      </w:r>
    </w:p>
  </w:endnote>
  <w:endnote w:type="continuationSeparator" w:id="0">
    <w:p w14:paraId="1CAD052E" w14:textId="77777777" w:rsidR="00252984" w:rsidRDefault="0025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2026" w14:textId="77777777" w:rsidR="00252984" w:rsidRDefault="00252984">
      <w:r>
        <w:separator/>
      </w:r>
    </w:p>
  </w:footnote>
  <w:footnote w:type="continuationSeparator" w:id="0">
    <w:p w14:paraId="723D6E08" w14:textId="77777777" w:rsidR="00252984" w:rsidRDefault="0025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13B6" w14:textId="77777777" w:rsidR="00B80679" w:rsidRPr="0008298B" w:rsidRDefault="00B80679" w:rsidP="00416970">
    <w:pPr>
      <w:pStyle w:val="Header"/>
      <w:jc w:val="center"/>
      <w:rPr>
        <w:sz w:val="32"/>
        <w:szCs w:val="32"/>
      </w:rPr>
    </w:pPr>
    <w:r>
      <w:rPr>
        <w:sz w:val="32"/>
        <w:szCs w:val="32"/>
      </w:rPr>
      <w:t xml:space="preserve"> Requirements for Affordable Units under the </w:t>
    </w:r>
    <w:proofErr w:type="spellStart"/>
    <w:r>
      <w:rPr>
        <w:sz w:val="32"/>
        <w:szCs w:val="32"/>
      </w:rPr>
      <w:t>Bourne</w:t>
    </w:r>
    <w:proofErr w:type="spellEnd"/>
    <w:r>
      <w:rPr>
        <w:sz w:val="32"/>
        <w:szCs w:val="32"/>
      </w:rPr>
      <w:t xml:space="preserve"> Zoning Bylaw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527F6"/>
    <w:multiLevelType w:val="hybridMultilevel"/>
    <w:tmpl w:val="B8A4FC5E"/>
    <w:lvl w:ilvl="0" w:tplc="F6909AE6">
      <w:start w:val="1"/>
      <w:numFmt w:val="decimal"/>
      <w:lvlText w:val="%1)"/>
      <w:lvlJc w:val="left"/>
      <w:pPr>
        <w:tabs>
          <w:tab w:val="num" w:pos="750"/>
        </w:tabs>
        <w:ind w:left="750" w:hanging="390"/>
      </w:pPr>
      <w:rPr>
        <w:rFonts w:cs="Times New Roman" w:hint="default"/>
      </w:rPr>
    </w:lvl>
    <w:lvl w:ilvl="1" w:tplc="26F4C3D2">
      <w:start w:val="20"/>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9507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01181CD-890C-4A1F-B19F-CE8A66E5434D}"/>
    <w:docVar w:name="dgnword-eventsink" w:val="75757376"/>
  </w:docVars>
  <w:rsids>
    <w:rsidRoot w:val="0070725F"/>
    <w:rsid w:val="0000207A"/>
    <w:rsid w:val="000258C5"/>
    <w:rsid w:val="000437B5"/>
    <w:rsid w:val="00050282"/>
    <w:rsid w:val="000558DA"/>
    <w:rsid w:val="0008298B"/>
    <w:rsid w:val="000E06D5"/>
    <w:rsid w:val="000F1897"/>
    <w:rsid w:val="000F1AF6"/>
    <w:rsid w:val="000F5888"/>
    <w:rsid w:val="00144E9D"/>
    <w:rsid w:val="00160122"/>
    <w:rsid w:val="00184064"/>
    <w:rsid w:val="0019540A"/>
    <w:rsid w:val="001C2895"/>
    <w:rsid w:val="001D5619"/>
    <w:rsid w:val="00205D82"/>
    <w:rsid w:val="00213C36"/>
    <w:rsid w:val="00222764"/>
    <w:rsid w:val="00225EB9"/>
    <w:rsid w:val="00226B34"/>
    <w:rsid w:val="00244E2C"/>
    <w:rsid w:val="00252984"/>
    <w:rsid w:val="0025448E"/>
    <w:rsid w:val="00261F44"/>
    <w:rsid w:val="002A31F9"/>
    <w:rsid w:val="002A4407"/>
    <w:rsid w:val="002B5C67"/>
    <w:rsid w:val="002E1F4F"/>
    <w:rsid w:val="00372363"/>
    <w:rsid w:val="00372B18"/>
    <w:rsid w:val="00374DE5"/>
    <w:rsid w:val="00394B36"/>
    <w:rsid w:val="004102CE"/>
    <w:rsid w:val="00416970"/>
    <w:rsid w:val="00422C7D"/>
    <w:rsid w:val="0044562F"/>
    <w:rsid w:val="0046769F"/>
    <w:rsid w:val="00484039"/>
    <w:rsid w:val="004A4042"/>
    <w:rsid w:val="004C6C08"/>
    <w:rsid w:val="004D2920"/>
    <w:rsid w:val="004F3EDC"/>
    <w:rsid w:val="005218DE"/>
    <w:rsid w:val="00530327"/>
    <w:rsid w:val="00534917"/>
    <w:rsid w:val="005426D7"/>
    <w:rsid w:val="00561778"/>
    <w:rsid w:val="00587477"/>
    <w:rsid w:val="00596742"/>
    <w:rsid w:val="00604AFF"/>
    <w:rsid w:val="00632864"/>
    <w:rsid w:val="006373BE"/>
    <w:rsid w:val="00693C21"/>
    <w:rsid w:val="006A1680"/>
    <w:rsid w:val="006A4ADA"/>
    <w:rsid w:val="0070725F"/>
    <w:rsid w:val="00711F36"/>
    <w:rsid w:val="0074018C"/>
    <w:rsid w:val="0076247B"/>
    <w:rsid w:val="00820A44"/>
    <w:rsid w:val="008439D8"/>
    <w:rsid w:val="00846D0C"/>
    <w:rsid w:val="0086036A"/>
    <w:rsid w:val="00894914"/>
    <w:rsid w:val="008A118C"/>
    <w:rsid w:val="008A229B"/>
    <w:rsid w:val="008A43B1"/>
    <w:rsid w:val="008B2587"/>
    <w:rsid w:val="008C373B"/>
    <w:rsid w:val="008E34BF"/>
    <w:rsid w:val="00914468"/>
    <w:rsid w:val="00923652"/>
    <w:rsid w:val="0095134B"/>
    <w:rsid w:val="00A13510"/>
    <w:rsid w:val="00A14465"/>
    <w:rsid w:val="00A14485"/>
    <w:rsid w:val="00A2035A"/>
    <w:rsid w:val="00A554A1"/>
    <w:rsid w:val="00A6151E"/>
    <w:rsid w:val="00A64B96"/>
    <w:rsid w:val="00A80AD9"/>
    <w:rsid w:val="00A841C3"/>
    <w:rsid w:val="00AB48D7"/>
    <w:rsid w:val="00AB5498"/>
    <w:rsid w:val="00AC3893"/>
    <w:rsid w:val="00AE75AC"/>
    <w:rsid w:val="00B80679"/>
    <w:rsid w:val="00B83114"/>
    <w:rsid w:val="00BB15F0"/>
    <w:rsid w:val="00BE5D4B"/>
    <w:rsid w:val="00BF09A2"/>
    <w:rsid w:val="00C172DE"/>
    <w:rsid w:val="00C173AE"/>
    <w:rsid w:val="00C262A7"/>
    <w:rsid w:val="00C41B6E"/>
    <w:rsid w:val="00C77B60"/>
    <w:rsid w:val="00CF7B7A"/>
    <w:rsid w:val="00D05B5A"/>
    <w:rsid w:val="00D7742F"/>
    <w:rsid w:val="00D85E8D"/>
    <w:rsid w:val="00DC4838"/>
    <w:rsid w:val="00E17508"/>
    <w:rsid w:val="00E7574A"/>
    <w:rsid w:val="00E8393E"/>
    <w:rsid w:val="00E868CF"/>
    <w:rsid w:val="00EB2D74"/>
    <w:rsid w:val="00EC19EE"/>
    <w:rsid w:val="00EC48CC"/>
    <w:rsid w:val="00EE1ABA"/>
    <w:rsid w:val="00F0203A"/>
    <w:rsid w:val="00F13443"/>
    <w:rsid w:val="00F41DFA"/>
    <w:rsid w:val="00F718A8"/>
    <w:rsid w:val="00F74A3A"/>
    <w:rsid w:val="00FC7243"/>
    <w:rsid w:val="00FF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C0610F"/>
  <w15:docId w15:val="{53D9E56B-B434-4D0E-9758-D79BFD96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2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298B"/>
    <w:pPr>
      <w:tabs>
        <w:tab w:val="center" w:pos="4320"/>
        <w:tab w:val="right" w:pos="8640"/>
      </w:tabs>
    </w:pPr>
  </w:style>
  <w:style w:type="character" w:customStyle="1" w:styleId="HeaderChar">
    <w:name w:val="Header Char"/>
    <w:basedOn w:val="DefaultParagraphFont"/>
    <w:link w:val="Header"/>
    <w:uiPriority w:val="99"/>
    <w:semiHidden/>
    <w:locked/>
    <w:rsid w:val="00EC19EE"/>
    <w:rPr>
      <w:rFonts w:cs="Times New Roman"/>
      <w:sz w:val="24"/>
      <w:szCs w:val="24"/>
    </w:rPr>
  </w:style>
  <w:style w:type="paragraph" w:styleId="Footer">
    <w:name w:val="footer"/>
    <w:basedOn w:val="Normal"/>
    <w:link w:val="FooterChar"/>
    <w:uiPriority w:val="99"/>
    <w:rsid w:val="0008298B"/>
    <w:pPr>
      <w:tabs>
        <w:tab w:val="center" w:pos="4320"/>
        <w:tab w:val="right" w:pos="8640"/>
      </w:tabs>
    </w:pPr>
  </w:style>
  <w:style w:type="character" w:customStyle="1" w:styleId="FooterChar">
    <w:name w:val="Footer Char"/>
    <w:basedOn w:val="DefaultParagraphFont"/>
    <w:link w:val="Footer"/>
    <w:uiPriority w:val="99"/>
    <w:semiHidden/>
    <w:locked/>
    <w:rsid w:val="00EC19EE"/>
    <w:rPr>
      <w:rFonts w:cs="Times New Roman"/>
      <w:sz w:val="24"/>
      <w:szCs w:val="24"/>
    </w:rPr>
  </w:style>
  <w:style w:type="paragraph" w:customStyle="1" w:styleId="Style">
    <w:name w:val="Style"/>
    <w:uiPriority w:val="99"/>
    <w:rsid w:val="006A168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of  units/location</vt:lpstr>
    </vt:vector>
  </TitlesOfParts>
  <Company>IFAW</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of  units/location</dc:title>
  <dc:subject/>
  <dc:creator>Owner</dc:creator>
  <cp:keywords/>
  <dc:description/>
  <cp:lastModifiedBy>james chapman jr.</cp:lastModifiedBy>
  <cp:revision>2</cp:revision>
  <cp:lastPrinted>2019-06-24T15:29:00Z</cp:lastPrinted>
  <dcterms:created xsi:type="dcterms:W3CDTF">2022-07-07T18:15:00Z</dcterms:created>
  <dcterms:modified xsi:type="dcterms:W3CDTF">2022-07-07T18:15:00Z</dcterms:modified>
</cp:coreProperties>
</file>