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F2BC" w14:textId="27C00CDA" w:rsidR="009945D6" w:rsidRPr="00A3157C" w:rsidRDefault="00F70FDA" w:rsidP="009945D6">
      <w:pPr>
        <w:pStyle w:val="Title"/>
        <w:jc w:val="center"/>
        <w:rPr>
          <w:color w:val="auto"/>
          <w:szCs w:val="28"/>
        </w:rPr>
      </w:pPr>
      <w:r>
        <w:rPr>
          <w:color w:val="auto"/>
          <w:szCs w:val="28"/>
        </w:rPr>
        <w:t>Cape View Way</w:t>
      </w:r>
    </w:p>
    <w:p w14:paraId="596B64B6" w14:textId="1A097E34" w:rsidR="00310D7A" w:rsidRDefault="00F70FDA" w:rsidP="00310D7A">
      <w:pPr>
        <w:pStyle w:val="Title"/>
        <w:jc w:val="center"/>
        <w:rPr>
          <w:color w:val="auto"/>
          <w:szCs w:val="28"/>
        </w:rPr>
      </w:pPr>
      <w:r>
        <w:rPr>
          <w:color w:val="auto"/>
          <w:szCs w:val="28"/>
        </w:rPr>
        <w:t>Bourne</w:t>
      </w:r>
      <w:r w:rsidR="00310D7A">
        <w:rPr>
          <w:color w:val="auto"/>
          <w:szCs w:val="28"/>
        </w:rPr>
        <w:t>, MA</w:t>
      </w:r>
    </w:p>
    <w:p w14:paraId="4E9B21A0" w14:textId="575E5839" w:rsidR="00515F37" w:rsidRDefault="00515F37" w:rsidP="00310D7A">
      <w:pPr>
        <w:pStyle w:val="Title"/>
        <w:jc w:val="center"/>
        <w:rPr>
          <w:color w:val="auto"/>
          <w:szCs w:val="28"/>
        </w:rPr>
      </w:pPr>
      <w:r>
        <w:rPr>
          <w:color w:val="auto"/>
          <w:szCs w:val="28"/>
        </w:rPr>
        <w:t>Project Narrative</w:t>
      </w:r>
    </w:p>
    <w:p w14:paraId="69C82AB7" w14:textId="3535865F" w:rsidR="009945D6" w:rsidRDefault="000F3AEF" w:rsidP="00A53F08">
      <w:pPr>
        <w:tabs>
          <w:tab w:val="center" w:pos="4680"/>
          <w:tab w:val="left" w:pos="5355"/>
          <w:tab w:val="left" w:pos="7501"/>
        </w:tabs>
        <w:spacing w:after="0"/>
      </w:pPr>
      <w:r>
        <w:tab/>
      </w:r>
      <w:r w:rsidR="00B62DF3">
        <w:t>May</w:t>
      </w:r>
      <w:r w:rsidR="00F70FDA">
        <w:t xml:space="preserve"> </w:t>
      </w:r>
      <w:r w:rsidR="00242D86">
        <w:t>1</w:t>
      </w:r>
      <w:r w:rsidR="003109E4">
        <w:t>3</w:t>
      </w:r>
      <w:r w:rsidR="00242D86">
        <w:t xml:space="preserve">, </w:t>
      </w:r>
      <w:r w:rsidR="00F70FDA">
        <w:t>2021</w:t>
      </w:r>
      <w:r>
        <w:tab/>
      </w:r>
      <w:r w:rsidR="00A53F08">
        <w:t xml:space="preserve"> </w:t>
      </w:r>
      <w:r w:rsidR="00A53F08">
        <w:tab/>
      </w:r>
    </w:p>
    <w:sdt>
      <w:sdtPr>
        <w:rPr>
          <w:rFonts w:asciiTheme="minorHAnsi" w:eastAsiaTheme="minorHAnsi" w:hAnsiTheme="minorHAnsi" w:cstheme="minorBidi"/>
          <w:b w:val="0"/>
          <w:bCs w:val="0"/>
          <w:color w:val="auto"/>
          <w:spacing w:val="0"/>
          <w:sz w:val="24"/>
          <w:szCs w:val="24"/>
        </w:rPr>
        <w:id w:val="13611493"/>
        <w:docPartObj>
          <w:docPartGallery w:val="Table of Contents"/>
          <w:docPartUnique/>
        </w:docPartObj>
      </w:sdtPr>
      <w:sdtEndPr>
        <w:rPr>
          <w:rFonts w:ascii="Arial" w:hAnsi="Arial"/>
          <w:sz w:val="22"/>
          <w:szCs w:val="22"/>
        </w:rPr>
      </w:sdtEndPr>
      <w:sdtContent>
        <w:p w14:paraId="5C356988" w14:textId="77777777" w:rsidR="00B61BF3" w:rsidRDefault="00B61BF3" w:rsidP="0049268D">
          <w:pPr>
            <w:pStyle w:val="TOCHeading"/>
            <w:spacing w:after="200"/>
            <w:jc w:val="center"/>
          </w:pPr>
          <w:r>
            <w:t>Table of Contents</w:t>
          </w:r>
        </w:p>
        <w:p w14:paraId="331731BD" w14:textId="208F44AF" w:rsidR="003109E4" w:rsidRDefault="00D80305">
          <w:pPr>
            <w:pStyle w:val="TOC1"/>
            <w:rPr>
              <w:rFonts w:asciiTheme="minorHAnsi" w:eastAsiaTheme="minorEastAsia" w:hAnsiTheme="minorHAnsi"/>
              <w:b w:val="0"/>
              <w:szCs w:val="22"/>
            </w:rPr>
          </w:pPr>
          <w:r>
            <w:rPr>
              <w:rFonts w:ascii="Cambria" w:hAnsi="Cambria"/>
              <w:b w:val="0"/>
              <w:szCs w:val="22"/>
            </w:rPr>
            <w:fldChar w:fldCharType="begin"/>
          </w:r>
          <w:r>
            <w:rPr>
              <w:rFonts w:ascii="Cambria" w:hAnsi="Cambria"/>
              <w:b w:val="0"/>
              <w:szCs w:val="22"/>
            </w:rPr>
            <w:instrText xml:space="preserve"> TOC \o "1-2" \h \z \u </w:instrText>
          </w:r>
          <w:r>
            <w:rPr>
              <w:rFonts w:ascii="Cambria" w:hAnsi="Cambria"/>
              <w:b w:val="0"/>
              <w:szCs w:val="22"/>
            </w:rPr>
            <w:fldChar w:fldCharType="separate"/>
          </w:r>
          <w:hyperlink w:anchor="_Toc71740816" w:history="1">
            <w:r w:rsidR="003109E4" w:rsidRPr="000971A5">
              <w:rPr>
                <w:rStyle w:val="Hyperlink"/>
              </w:rPr>
              <w:t>1.0</w:t>
            </w:r>
            <w:r w:rsidR="003109E4">
              <w:rPr>
                <w:rFonts w:asciiTheme="minorHAnsi" w:eastAsiaTheme="minorEastAsia" w:hAnsiTheme="minorHAnsi"/>
                <w:b w:val="0"/>
                <w:szCs w:val="22"/>
              </w:rPr>
              <w:tab/>
            </w:r>
            <w:r w:rsidR="003109E4" w:rsidRPr="000971A5">
              <w:rPr>
                <w:rStyle w:val="Hyperlink"/>
              </w:rPr>
              <w:t>INTRODUCTION &amp; GENERAL DESCRIPTION</w:t>
            </w:r>
            <w:r w:rsidR="003109E4">
              <w:rPr>
                <w:webHidden/>
              </w:rPr>
              <w:tab/>
            </w:r>
            <w:r w:rsidR="003109E4">
              <w:rPr>
                <w:webHidden/>
              </w:rPr>
              <w:fldChar w:fldCharType="begin"/>
            </w:r>
            <w:r w:rsidR="003109E4">
              <w:rPr>
                <w:webHidden/>
              </w:rPr>
              <w:instrText xml:space="preserve"> PAGEREF _Toc71740816 \h </w:instrText>
            </w:r>
            <w:r w:rsidR="003109E4">
              <w:rPr>
                <w:webHidden/>
              </w:rPr>
            </w:r>
            <w:r w:rsidR="003109E4">
              <w:rPr>
                <w:webHidden/>
              </w:rPr>
              <w:fldChar w:fldCharType="separate"/>
            </w:r>
            <w:r w:rsidR="003109E4">
              <w:rPr>
                <w:webHidden/>
              </w:rPr>
              <w:t>1</w:t>
            </w:r>
            <w:r w:rsidR="003109E4">
              <w:rPr>
                <w:webHidden/>
              </w:rPr>
              <w:fldChar w:fldCharType="end"/>
            </w:r>
          </w:hyperlink>
        </w:p>
        <w:p w14:paraId="1BDBE605" w14:textId="488A9FDB" w:rsidR="003109E4" w:rsidRDefault="00C926E1">
          <w:pPr>
            <w:pStyle w:val="TOC2"/>
            <w:rPr>
              <w:rFonts w:asciiTheme="minorHAnsi" w:eastAsiaTheme="minorEastAsia" w:hAnsiTheme="minorHAnsi"/>
              <w:noProof/>
              <w:szCs w:val="22"/>
            </w:rPr>
          </w:pPr>
          <w:hyperlink w:anchor="_Toc71740817" w:history="1">
            <w:r w:rsidR="003109E4" w:rsidRPr="000971A5">
              <w:rPr>
                <w:rStyle w:val="Hyperlink"/>
                <w:noProof/>
              </w:rPr>
              <w:t>1.1</w:t>
            </w:r>
            <w:r w:rsidR="003109E4">
              <w:rPr>
                <w:rFonts w:asciiTheme="minorHAnsi" w:eastAsiaTheme="minorEastAsia" w:hAnsiTheme="minorHAnsi"/>
                <w:noProof/>
                <w:szCs w:val="22"/>
              </w:rPr>
              <w:tab/>
            </w:r>
            <w:r w:rsidR="003109E4" w:rsidRPr="000971A5">
              <w:rPr>
                <w:rStyle w:val="Hyperlink"/>
                <w:noProof/>
              </w:rPr>
              <w:t>Existing Conditions</w:t>
            </w:r>
            <w:r w:rsidR="003109E4">
              <w:rPr>
                <w:noProof/>
                <w:webHidden/>
              </w:rPr>
              <w:tab/>
            </w:r>
            <w:r w:rsidR="003109E4">
              <w:rPr>
                <w:noProof/>
                <w:webHidden/>
              </w:rPr>
              <w:fldChar w:fldCharType="begin"/>
            </w:r>
            <w:r w:rsidR="003109E4">
              <w:rPr>
                <w:noProof/>
                <w:webHidden/>
              </w:rPr>
              <w:instrText xml:space="preserve"> PAGEREF _Toc71740817 \h </w:instrText>
            </w:r>
            <w:r w:rsidR="003109E4">
              <w:rPr>
                <w:noProof/>
                <w:webHidden/>
              </w:rPr>
            </w:r>
            <w:r w:rsidR="003109E4">
              <w:rPr>
                <w:noProof/>
                <w:webHidden/>
              </w:rPr>
              <w:fldChar w:fldCharType="separate"/>
            </w:r>
            <w:r w:rsidR="003109E4">
              <w:rPr>
                <w:noProof/>
                <w:webHidden/>
              </w:rPr>
              <w:t>1</w:t>
            </w:r>
            <w:r w:rsidR="003109E4">
              <w:rPr>
                <w:noProof/>
                <w:webHidden/>
              </w:rPr>
              <w:fldChar w:fldCharType="end"/>
            </w:r>
          </w:hyperlink>
        </w:p>
        <w:p w14:paraId="5E1416CC" w14:textId="6D4FAF8E" w:rsidR="003109E4" w:rsidRDefault="00C926E1">
          <w:pPr>
            <w:pStyle w:val="TOC2"/>
            <w:rPr>
              <w:rFonts w:asciiTheme="minorHAnsi" w:eastAsiaTheme="minorEastAsia" w:hAnsiTheme="minorHAnsi"/>
              <w:noProof/>
              <w:szCs w:val="22"/>
            </w:rPr>
          </w:pPr>
          <w:hyperlink w:anchor="_Toc71740818" w:history="1">
            <w:r w:rsidR="003109E4" w:rsidRPr="000971A5">
              <w:rPr>
                <w:rStyle w:val="Hyperlink"/>
                <w:noProof/>
              </w:rPr>
              <w:t>1.2</w:t>
            </w:r>
            <w:r w:rsidR="003109E4">
              <w:rPr>
                <w:rFonts w:asciiTheme="minorHAnsi" w:eastAsiaTheme="minorEastAsia" w:hAnsiTheme="minorHAnsi"/>
                <w:noProof/>
                <w:szCs w:val="22"/>
              </w:rPr>
              <w:tab/>
            </w:r>
            <w:r w:rsidR="003109E4" w:rsidRPr="000971A5">
              <w:rPr>
                <w:rStyle w:val="Hyperlink"/>
                <w:noProof/>
              </w:rPr>
              <w:t>Soils</w:t>
            </w:r>
            <w:r w:rsidR="003109E4">
              <w:rPr>
                <w:noProof/>
                <w:webHidden/>
              </w:rPr>
              <w:tab/>
            </w:r>
            <w:r w:rsidR="003109E4">
              <w:rPr>
                <w:noProof/>
                <w:webHidden/>
              </w:rPr>
              <w:fldChar w:fldCharType="begin"/>
            </w:r>
            <w:r w:rsidR="003109E4">
              <w:rPr>
                <w:noProof/>
                <w:webHidden/>
              </w:rPr>
              <w:instrText xml:space="preserve"> PAGEREF _Toc71740818 \h </w:instrText>
            </w:r>
            <w:r w:rsidR="003109E4">
              <w:rPr>
                <w:noProof/>
                <w:webHidden/>
              </w:rPr>
            </w:r>
            <w:r w:rsidR="003109E4">
              <w:rPr>
                <w:noProof/>
                <w:webHidden/>
              </w:rPr>
              <w:fldChar w:fldCharType="separate"/>
            </w:r>
            <w:r w:rsidR="003109E4">
              <w:rPr>
                <w:noProof/>
                <w:webHidden/>
              </w:rPr>
              <w:t>1</w:t>
            </w:r>
            <w:r w:rsidR="003109E4">
              <w:rPr>
                <w:noProof/>
                <w:webHidden/>
              </w:rPr>
              <w:fldChar w:fldCharType="end"/>
            </w:r>
          </w:hyperlink>
        </w:p>
        <w:p w14:paraId="43BB66CD" w14:textId="2557E849" w:rsidR="003109E4" w:rsidRDefault="00C926E1">
          <w:pPr>
            <w:pStyle w:val="TOC2"/>
            <w:rPr>
              <w:rFonts w:asciiTheme="minorHAnsi" w:eastAsiaTheme="minorEastAsia" w:hAnsiTheme="minorHAnsi"/>
              <w:noProof/>
              <w:szCs w:val="22"/>
            </w:rPr>
          </w:pPr>
          <w:hyperlink w:anchor="_Toc71740819" w:history="1">
            <w:r w:rsidR="003109E4" w:rsidRPr="000971A5">
              <w:rPr>
                <w:rStyle w:val="Hyperlink"/>
                <w:noProof/>
              </w:rPr>
              <w:t>1.3</w:t>
            </w:r>
            <w:r w:rsidR="003109E4">
              <w:rPr>
                <w:rFonts w:asciiTheme="minorHAnsi" w:eastAsiaTheme="minorEastAsia" w:hAnsiTheme="minorHAnsi"/>
                <w:noProof/>
                <w:szCs w:val="22"/>
              </w:rPr>
              <w:tab/>
            </w:r>
            <w:r w:rsidR="003109E4" w:rsidRPr="000971A5">
              <w:rPr>
                <w:rStyle w:val="Hyperlink"/>
                <w:noProof/>
              </w:rPr>
              <w:t>FEMA Designation</w:t>
            </w:r>
            <w:r w:rsidR="003109E4">
              <w:rPr>
                <w:noProof/>
                <w:webHidden/>
              </w:rPr>
              <w:tab/>
            </w:r>
            <w:r w:rsidR="003109E4">
              <w:rPr>
                <w:noProof/>
                <w:webHidden/>
              </w:rPr>
              <w:fldChar w:fldCharType="begin"/>
            </w:r>
            <w:r w:rsidR="003109E4">
              <w:rPr>
                <w:noProof/>
                <w:webHidden/>
              </w:rPr>
              <w:instrText xml:space="preserve"> PAGEREF _Toc71740819 \h </w:instrText>
            </w:r>
            <w:r w:rsidR="003109E4">
              <w:rPr>
                <w:noProof/>
                <w:webHidden/>
              </w:rPr>
            </w:r>
            <w:r w:rsidR="003109E4">
              <w:rPr>
                <w:noProof/>
                <w:webHidden/>
              </w:rPr>
              <w:fldChar w:fldCharType="separate"/>
            </w:r>
            <w:r w:rsidR="003109E4">
              <w:rPr>
                <w:noProof/>
                <w:webHidden/>
              </w:rPr>
              <w:t>2</w:t>
            </w:r>
            <w:r w:rsidR="003109E4">
              <w:rPr>
                <w:noProof/>
                <w:webHidden/>
              </w:rPr>
              <w:fldChar w:fldCharType="end"/>
            </w:r>
          </w:hyperlink>
        </w:p>
        <w:p w14:paraId="0763A662" w14:textId="19438F24" w:rsidR="003109E4" w:rsidRDefault="00C926E1">
          <w:pPr>
            <w:pStyle w:val="TOC2"/>
            <w:rPr>
              <w:rFonts w:asciiTheme="minorHAnsi" w:eastAsiaTheme="minorEastAsia" w:hAnsiTheme="minorHAnsi"/>
              <w:noProof/>
              <w:szCs w:val="22"/>
            </w:rPr>
          </w:pPr>
          <w:hyperlink w:anchor="_Toc71740820" w:history="1">
            <w:r w:rsidR="003109E4" w:rsidRPr="000971A5">
              <w:rPr>
                <w:rStyle w:val="Hyperlink"/>
                <w:noProof/>
              </w:rPr>
              <w:t>1.4</w:t>
            </w:r>
            <w:r w:rsidR="003109E4">
              <w:rPr>
                <w:rFonts w:asciiTheme="minorHAnsi" w:eastAsiaTheme="minorEastAsia" w:hAnsiTheme="minorHAnsi"/>
                <w:noProof/>
                <w:szCs w:val="22"/>
              </w:rPr>
              <w:tab/>
            </w:r>
            <w:r w:rsidR="003109E4" w:rsidRPr="000971A5">
              <w:rPr>
                <w:rStyle w:val="Hyperlink"/>
                <w:noProof/>
              </w:rPr>
              <w:t>State-listed Rare Species Habitat</w:t>
            </w:r>
            <w:r w:rsidR="003109E4">
              <w:rPr>
                <w:noProof/>
                <w:webHidden/>
              </w:rPr>
              <w:tab/>
            </w:r>
            <w:r w:rsidR="003109E4">
              <w:rPr>
                <w:noProof/>
                <w:webHidden/>
              </w:rPr>
              <w:fldChar w:fldCharType="begin"/>
            </w:r>
            <w:r w:rsidR="003109E4">
              <w:rPr>
                <w:noProof/>
                <w:webHidden/>
              </w:rPr>
              <w:instrText xml:space="preserve"> PAGEREF _Toc71740820 \h </w:instrText>
            </w:r>
            <w:r w:rsidR="003109E4">
              <w:rPr>
                <w:noProof/>
                <w:webHidden/>
              </w:rPr>
            </w:r>
            <w:r w:rsidR="003109E4">
              <w:rPr>
                <w:noProof/>
                <w:webHidden/>
              </w:rPr>
              <w:fldChar w:fldCharType="separate"/>
            </w:r>
            <w:r w:rsidR="003109E4">
              <w:rPr>
                <w:noProof/>
                <w:webHidden/>
              </w:rPr>
              <w:t>2</w:t>
            </w:r>
            <w:r w:rsidR="003109E4">
              <w:rPr>
                <w:noProof/>
                <w:webHidden/>
              </w:rPr>
              <w:fldChar w:fldCharType="end"/>
            </w:r>
          </w:hyperlink>
        </w:p>
        <w:p w14:paraId="14F2C443" w14:textId="42EB772C" w:rsidR="003109E4" w:rsidRDefault="00C926E1">
          <w:pPr>
            <w:pStyle w:val="TOC2"/>
            <w:rPr>
              <w:rFonts w:asciiTheme="minorHAnsi" w:eastAsiaTheme="minorEastAsia" w:hAnsiTheme="minorHAnsi"/>
              <w:noProof/>
              <w:szCs w:val="22"/>
            </w:rPr>
          </w:pPr>
          <w:hyperlink w:anchor="_Toc71740821" w:history="1">
            <w:r w:rsidR="003109E4" w:rsidRPr="000971A5">
              <w:rPr>
                <w:rStyle w:val="Hyperlink"/>
                <w:noProof/>
              </w:rPr>
              <w:t>1.5</w:t>
            </w:r>
            <w:r w:rsidR="003109E4">
              <w:rPr>
                <w:rFonts w:asciiTheme="minorHAnsi" w:eastAsiaTheme="minorEastAsia" w:hAnsiTheme="minorHAnsi"/>
                <w:noProof/>
                <w:szCs w:val="22"/>
              </w:rPr>
              <w:tab/>
            </w:r>
            <w:r w:rsidR="003109E4" w:rsidRPr="000971A5">
              <w:rPr>
                <w:rStyle w:val="Hyperlink"/>
                <w:noProof/>
              </w:rPr>
              <w:t>Wetland Resource Areas</w:t>
            </w:r>
            <w:r w:rsidR="003109E4">
              <w:rPr>
                <w:noProof/>
                <w:webHidden/>
              </w:rPr>
              <w:tab/>
            </w:r>
            <w:r w:rsidR="003109E4">
              <w:rPr>
                <w:noProof/>
                <w:webHidden/>
              </w:rPr>
              <w:fldChar w:fldCharType="begin"/>
            </w:r>
            <w:r w:rsidR="003109E4">
              <w:rPr>
                <w:noProof/>
                <w:webHidden/>
              </w:rPr>
              <w:instrText xml:space="preserve"> PAGEREF _Toc71740821 \h </w:instrText>
            </w:r>
            <w:r w:rsidR="003109E4">
              <w:rPr>
                <w:noProof/>
                <w:webHidden/>
              </w:rPr>
            </w:r>
            <w:r w:rsidR="003109E4">
              <w:rPr>
                <w:noProof/>
                <w:webHidden/>
              </w:rPr>
              <w:fldChar w:fldCharType="separate"/>
            </w:r>
            <w:r w:rsidR="003109E4">
              <w:rPr>
                <w:noProof/>
                <w:webHidden/>
              </w:rPr>
              <w:t>2</w:t>
            </w:r>
            <w:r w:rsidR="003109E4">
              <w:rPr>
                <w:noProof/>
                <w:webHidden/>
              </w:rPr>
              <w:fldChar w:fldCharType="end"/>
            </w:r>
          </w:hyperlink>
        </w:p>
        <w:p w14:paraId="405FFCD5" w14:textId="4DF81443" w:rsidR="003109E4" w:rsidRDefault="00C926E1">
          <w:pPr>
            <w:pStyle w:val="TOC1"/>
            <w:rPr>
              <w:rFonts w:asciiTheme="minorHAnsi" w:eastAsiaTheme="minorEastAsia" w:hAnsiTheme="minorHAnsi"/>
              <w:b w:val="0"/>
              <w:szCs w:val="22"/>
            </w:rPr>
          </w:pPr>
          <w:hyperlink w:anchor="_Toc71740822" w:history="1">
            <w:r w:rsidR="003109E4" w:rsidRPr="000971A5">
              <w:rPr>
                <w:rStyle w:val="Hyperlink"/>
              </w:rPr>
              <w:t>2.0</w:t>
            </w:r>
            <w:r w:rsidR="003109E4">
              <w:rPr>
                <w:rFonts w:asciiTheme="minorHAnsi" w:eastAsiaTheme="minorEastAsia" w:hAnsiTheme="minorHAnsi"/>
                <w:b w:val="0"/>
                <w:szCs w:val="22"/>
              </w:rPr>
              <w:tab/>
            </w:r>
            <w:r w:rsidR="003109E4" w:rsidRPr="000971A5">
              <w:rPr>
                <w:rStyle w:val="Hyperlink"/>
              </w:rPr>
              <w:t>PROPOSED PROJECT NARRATIVE</w:t>
            </w:r>
            <w:r w:rsidR="003109E4">
              <w:rPr>
                <w:webHidden/>
              </w:rPr>
              <w:tab/>
            </w:r>
            <w:r w:rsidR="003109E4">
              <w:rPr>
                <w:webHidden/>
              </w:rPr>
              <w:fldChar w:fldCharType="begin"/>
            </w:r>
            <w:r w:rsidR="003109E4">
              <w:rPr>
                <w:webHidden/>
              </w:rPr>
              <w:instrText xml:space="preserve"> PAGEREF _Toc71740822 \h </w:instrText>
            </w:r>
            <w:r w:rsidR="003109E4">
              <w:rPr>
                <w:webHidden/>
              </w:rPr>
            </w:r>
            <w:r w:rsidR="003109E4">
              <w:rPr>
                <w:webHidden/>
              </w:rPr>
              <w:fldChar w:fldCharType="separate"/>
            </w:r>
            <w:r w:rsidR="003109E4">
              <w:rPr>
                <w:webHidden/>
              </w:rPr>
              <w:t>2</w:t>
            </w:r>
            <w:r w:rsidR="003109E4">
              <w:rPr>
                <w:webHidden/>
              </w:rPr>
              <w:fldChar w:fldCharType="end"/>
            </w:r>
          </w:hyperlink>
        </w:p>
        <w:p w14:paraId="3D733D96" w14:textId="207617E7" w:rsidR="003109E4" w:rsidRDefault="00C926E1">
          <w:pPr>
            <w:pStyle w:val="TOC2"/>
            <w:rPr>
              <w:rFonts w:asciiTheme="minorHAnsi" w:eastAsiaTheme="minorEastAsia" w:hAnsiTheme="minorHAnsi"/>
              <w:noProof/>
              <w:szCs w:val="22"/>
            </w:rPr>
          </w:pPr>
          <w:hyperlink w:anchor="_Toc71740823" w:history="1">
            <w:r w:rsidR="003109E4" w:rsidRPr="000971A5">
              <w:rPr>
                <w:rStyle w:val="Hyperlink"/>
                <w:noProof/>
              </w:rPr>
              <w:t>2.1</w:t>
            </w:r>
            <w:r w:rsidR="003109E4">
              <w:rPr>
                <w:rFonts w:asciiTheme="minorHAnsi" w:eastAsiaTheme="minorEastAsia" w:hAnsiTheme="minorHAnsi"/>
                <w:noProof/>
                <w:szCs w:val="22"/>
              </w:rPr>
              <w:tab/>
            </w:r>
            <w:r w:rsidR="003109E4" w:rsidRPr="000971A5">
              <w:rPr>
                <w:rStyle w:val="Hyperlink"/>
                <w:noProof/>
              </w:rPr>
              <w:t>Use of Building and Architecture</w:t>
            </w:r>
            <w:r w:rsidR="003109E4">
              <w:rPr>
                <w:noProof/>
                <w:webHidden/>
              </w:rPr>
              <w:tab/>
            </w:r>
            <w:r w:rsidR="003109E4">
              <w:rPr>
                <w:noProof/>
                <w:webHidden/>
              </w:rPr>
              <w:fldChar w:fldCharType="begin"/>
            </w:r>
            <w:r w:rsidR="003109E4">
              <w:rPr>
                <w:noProof/>
                <w:webHidden/>
              </w:rPr>
              <w:instrText xml:space="preserve"> PAGEREF _Toc71740823 \h </w:instrText>
            </w:r>
            <w:r w:rsidR="003109E4">
              <w:rPr>
                <w:noProof/>
                <w:webHidden/>
              </w:rPr>
            </w:r>
            <w:r w:rsidR="003109E4">
              <w:rPr>
                <w:noProof/>
                <w:webHidden/>
              </w:rPr>
              <w:fldChar w:fldCharType="separate"/>
            </w:r>
            <w:r w:rsidR="003109E4">
              <w:rPr>
                <w:noProof/>
                <w:webHidden/>
              </w:rPr>
              <w:t>2</w:t>
            </w:r>
            <w:r w:rsidR="003109E4">
              <w:rPr>
                <w:noProof/>
                <w:webHidden/>
              </w:rPr>
              <w:fldChar w:fldCharType="end"/>
            </w:r>
          </w:hyperlink>
        </w:p>
        <w:p w14:paraId="090E84E7" w14:textId="3398F5A7" w:rsidR="003109E4" w:rsidRDefault="00C926E1">
          <w:pPr>
            <w:pStyle w:val="TOC2"/>
            <w:rPr>
              <w:rFonts w:asciiTheme="minorHAnsi" w:eastAsiaTheme="minorEastAsia" w:hAnsiTheme="minorHAnsi"/>
              <w:noProof/>
              <w:szCs w:val="22"/>
            </w:rPr>
          </w:pPr>
          <w:hyperlink w:anchor="_Toc71740824" w:history="1">
            <w:r w:rsidR="003109E4" w:rsidRPr="000971A5">
              <w:rPr>
                <w:rStyle w:val="Hyperlink"/>
                <w:noProof/>
              </w:rPr>
              <w:t>2.2</w:t>
            </w:r>
            <w:r w:rsidR="003109E4">
              <w:rPr>
                <w:rFonts w:asciiTheme="minorHAnsi" w:eastAsiaTheme="minorEastAsia" w:hAnsiTheme="minorHAnsi"/>
                <w:noProof/>
                <w:szCs w:val="22"/>
              </w:rPr>
              <w:tab/>
            </w:r>
            <w:r w:rsidR="003109E4" w:rsidRPr="000971A5">
              <w:rPr>
                <w:rStyle w:val="Hyperlink"/>
                <w:noProof/>
              </w:rPr>
              <w:t>Traffic Flow, parking, loading, and circulation</w:t>
            </w:r>
            <w:r w:rsidR="003109E4">
              <w:rPr>
                <w:noProof/>
                <w:webHidden/>
              </w:rPr>
              <w:tab/>
            </w:r>
            <w:r w:rsidR="003109E4">
              <w:rPr>
                <w:noProof/>
                <w:webHidden/>
              </w:rPr>
              <w:fldChar w:fldCharType="begin"/>
            </w:r>
            <w:r w:rsidR="003109E4">
              <w:rPr>
                <w:noProof/>
                <w:webHidden/>
              </w:rPr>
              <w:instrText xml:space="preserve"> PAGEREF _Toc71740824 \h </w:instrText>
            </w:r>
            <w:r w:rsidR="003109E4">
              <w:rPr>
                <w:noProof/>
                <w:webHidden/>
              </w:rPr>
            </w:r>
            <w:r w:rsidR="003109E4">
              <w:rPr>
                <w:noProof/>
                <w:webHidden/>
              </w:rPr>
              <w:fldChar w:fldCharType="separate"/>
            </w:r>
            <w:r w:rsidR="003109E4">
              <w:rPr>
                <w:noProof/>
                <w:webHidden/>
              </w:rPr>
              <w:t>4</w:t>
            </w:r>
            <w:r w:rsidR="003109E4">
              <w:rPr>
                <w:noProof/>
                <w:webHidden/>
              </w:rPr>
              <w:fldChar w:fldCharType="end"/>
            </w:r>
          </w:hyperlink>
        </w:p>
        <w:p w14:paraId="0D0D4A7E" w14:textId="3D9B184F" w:rsidR="003109E4" w:rsidRDefault="00C926E1">
          <w:pPr>
            <w:pStyle w:val="TOC2"/>
            <w:rPr>
              <w:rFonts w:asciiTheme="minorHAnsi" w:eastAsiaTheme="minorEastAsia" w:hAnsiTheme="minorHAnsi"/>
              <w:noProof/>
              <w:szCs w:val="22"/>
            </w:rPr>
          </w:pPr>
          <w:hyperlink w:anchor="_Toc71740825" w:history="1">
            <w:r w:rsidR="003109E4" w:rsidRPr="000971A5">
              <w:rPr>
                <w:rStyle w:val="Hyperlink"/>
                <w:noProof/>
              </w:rPr>
              <w:t>2.3</w:t>
            </w:r>
            <w:r w:rsidR="003109E4">
              <w:rPr>
                <w:rFonts w:asciiTheme="minorHAnsi" w:eastAsiaTheme="minorEastAsia" w:hAnsiTheme="minorHAnsi"/>
                <w:noProof/>
                <w:szCs w:val="22"/>
              </w:rPr>
              <w:tab/>
            </w:r>
            <w:r w:rsidR="003109E4" w:rsidRPr="000971A5">
              <w:rPr>
                <w:rStyle w:val="Hyperlink"/>
                <w:noProof/>
              </w:rPr>
              <w:t>Landscape, external lighting, snow removal, and screening</w:t>
            </w:r>
            <w:r w:rsidR="003109E4">
              <w:rPr>
                <w:noProof/>
                <w:webHidden/>
              </w:rPr>
              <w:tab/>
            </w:r>
            <w:r w:rsidR="003109E4">
              <w:rPr>
                <w:noProof/>
                <w:webHidden/>
              </w:rPr>
              <w:fldChar w:fldCharType="begin"/>
            </w:r>
            <w:r w:rsidR="003109E4">
              <w:rPr>
                <w:noProof/>
                <w:webHidden/>
              </w:rPr>
              <w:instrText xml:space="preserve"> PAGEREF _Toc71740825 \h </w:instrText>
            </w:r>
            <w:r w:rsidR="003109E4">
              <w:rPr>
                <w:noProof/>
                <w:webHidden/>
              </w:rPr>
            </w:r>
            <w:r w:rsidR="003109E4">
              <w:rPr>
                <w:noProof/>
                <w:webHidden/>
              </w:rPr>
              <w:fldChar w:fldCharType="separate"/>
            </w:r>
            <w:r w:rsidR="003109E4">
              <w:rPr>
                <w:noProof/>
                <w:webHidden/>
              </w:rPr>
              <w:t>5</w:t>
            </w:r>
            <w:r w:rsidR="003109E4">
              <w:rPr>
                <w:noProof/>
                <w:webHidden/>
              </w:rPr>
              <w:fldChar w:fldCharType="end"/>
            </w:r>
          </w:hyperlink>
        </w:p>
        <w:p w14:paraId="51EF7C91" w14:textId="557FD684" w:rsidR="003109E4" w:rsidRDefault="00C926E1">
          <w:pPr>
            <w:pStyle w:val="TOC2"/>
            <w:rPr>
              <w:rFonts w:asciiTheme="minorHAnsi" w:eastAsiaTheme="minorEastAsia" w:hAnsiTheme="minorHAnsi"/>
              <w:noProof/>
              <w:szCs w:val="22"/>
            </w:rPr>
          </w:pPr>
          <w:hyperlink w:anchor="_Toc71740826" w:history="1">
            <w:r w:rsidR="003109E4" w:rsidRPr="000971A5">
              <w:rPr>
                <w:rStyle w:val="Hyperlink"/>
                <w:noProof/>
              </w:rPr>
              <w:t>2.4</w:t>
            </w:r>
            <w:r w:rsidR="003109E4">
              <w:rPr>
                <w:rFonts w:asciiTheme="minorHAnsi" w:eastAsiaTheme="minorEastAsia" w:hAnsiTheme="minorHAnsi"/>
                <w:noProof/>
                <w:szCs w:val="22"/>
              </w:rPr>
              <w:tab/>
            </w:r>
            <w:r w:rsidR="003109E4" w:rsidRPr="000971A5">
              <w:rPr>
                <w:rStyle w:val="Hyperlink"/>
                <w:noProof/>
              </w:rPr>
              <w:t>Proposed and Existing Public and Private Utilities</w:t>
            </w:r>
            <w:r w:rsidR="003109E4">
              <w:rPr>
                <w:noProof/>
                <w:webHidden/>
              </w:rPr>
              <w:tab/>
            </w:r>
            <w:r w:rsidR="003109E4">
              <w:rPr>
                <w:noProof/>
                <w:webHidden/>
              </w:rPr>
              <w:fldChar w:fldCharType="begin"/>
            </w:r>
            <w:r w:rsidR="003109E4">
              <w:rPr>
                <w:noProof/>
                <w:webHidden/>
              </w:rPr>
              <w:instrText xml:space="preserve"> PAGEREF _Toc71740826 \h </w:instrText>
            </w:r>
            <w:r w:rsidR="003109E4">
              <w:rPr>
                <w:noProof/>
                <w:webHidden/>
              </w:rPr>
            </w:r>
            <w:r w:rsidR="003109E4">
              <w:rPr>
                <w:noProof/>
                <w:webHidden/>
              </w:rPr>
              <w:fldChar w:fldCharType="separate"/>
            </w:r>
            <w:r w:rsidR="003109E4">
              <w:rPr>
                <w:noProof/>
                <w:webHidden/>
              </w:rPr>
              <w:t>8</w:t>
            </w:r>
            <w:r w:rsidR="003109E4">
              <w:rPr>
                <w:noProof/>
                <w:webHidden/>
              </w:rPr>
              <w:fldChar w:fldCharType="end"/>
            </w:r>
          </w:hyperlink>
        </w:p>
        <w:p w14:paraId="6B8ABABD" w14:textId="7C51CAD4" w:rsidR="003109E4" w:rsidRDefault="00C926E1">
          <w:pPr>
            <w:pStyle w:val="TOC2"/>
            <w:rPr>
              <w:rFonts w:asciiTheme="minorHAnsi" w:eastAsiaTheme="minorEastAsia" w:hAnsiTheme="minorHAnsi"/>
              <w:noProof/>
              <w:szCs w:val="22"/>
            </w:rPr>
          </w:pPr>
          <w:hyperlink w:anchor="_Toc71740827" w:history="1">
            <w:r w:rsidR="003109E4" w:rsidRPr="000971A5">
              <w:rPr>
                <w:rStyle w:val="Hyperlink"/>
                <w:noProof/>
              </w:rPr>
              <w:t>2.5</w:t>
            </w:r>
            <w:r w:rsidR="003109E4">
              <w:rPr>
                <w:rFonts w:asciiTheme="minorHAnsi" w:eastAsiaTheme="minorEastAsia" w:hAnsiTheme="minorHAnsi"/>
                <w:noProof/>
                <w:szCs w:val="22"/>
              </w:rPr>
              <w:tab/>
            </w:r>
            <w:r w:rsidR="003109E4" w:rsidRPr="000971A5">
              <w:rPr>
                <w:rStyle w:val="Hyperlink"/>
                <w:noProof/>
              </w:rPr>
              <w:t>Description of natural area protection and enhancement</w:t>
            </w:r>
            <w:r w:rsidR="003109E4">
              <w:rPr>
                <w:noProof/>
                <w:webHidden/>
              </w:rPr>
              <w:tab/>
            </w:r>
            <w:r w:rsidR="003109E4">
              <w:rPr>
                <w:noProof/>
                <w:webHidden/>
              </w:rPr>
              <w:fldChar w:fldCharType="begin"/>
            </w:r>
            <w:r w:rsidR="003109E4">
              <w:rPr>
                <w:noProof/>
                <w:webHidden/>
              </w:rPr>
              <w:instrText xml:space="preserve"> PAGEREF _Toc71740827 \h </w:instrText>
            </w:r>
            <w:r w:rsidR="003109E4">
              <w:rPr>
                <w:noProof/>
                <w:webHidden/>
              </w:rPr>
            </w:r>
            <w:r w:rsidR="003109E4">
              <w:rPr>
                <w:noProof/>
                <w:webHidden/>
              </w:rPr>
              <w:fldChar w:fldCharType="separate"/>
            </w:r>
            <w:r w:rsidR="003109E4">
              <w:rPr>
                <w:noProof/>
                <w:webHidden/>
              </w:rPr>
              <w:t>10</w:t>
            </w:r>
            <w:r w:rsidR="003109E4">
              <w:rPr>
                <w:noProof/>
                <w:webHidden/>
              </w:rPr>
              <w:fldChar w:fldCharType="end"/>
            </w:r>
          </w:hyperlink>
        </w:p>
        <w:p w14:paraId="442ACC5C" w14:textId="086B062B" w:rsidR="003109E4" w:rsidRDefault="00C926E1">
          <w:pPr>
            <w:pStyle w:val="TOC2"/>
            <w:rPr>
              <w:rFonts w:asciiTheme="minorHAnsi" w:eastAsiaTheme="minorEastAsia" w:hAnsiTheme="minorHAnsi"/>
              <w:noProof/>
              <w:szCs w:val="22"/>
            </w:rPr>
          </w:pPr>
          <w:hyperlink w:anchor="_Toc71740828" w:history="1">
            <w:r w:rsidR="003109E4" w:rsidRPr="000971A5">
              <w:rPr>
                <w:rStyle w:val="Hyperlink"/>
                <w:noProof/>
              </w:rPr>
              <w:t>2.6</w:t>
            </w:r>
            <w:r w:rsidR="003109E4">
              <w:rPr>
                <w:rFonts w:asciiTheme="minorHAnsi" w:eastAsiaTheme="minorEastAsia" w:hAnsiTheme="minorHAnsi"/>
                <w:noProof/>
                <w:szCs w:val="22"/>
              </w:rPr>
              <w:tab/>
            </w:r>
            <w:r w:rsidR="003109E4" w:rsidRPr="000971A5">
              <w:rPr>
                <w:rStyle w:val="Hyperlink"/>
                <w:noProof/>
              </w:rPr>
              <w:t>School impact issue</w:t>
            </w:r>
            <w:r w:rsidR="003109E4">
              <w:rPr>
                <w:noProof/>
                <w:webHidden/>
              </w:rPr>
              <w:tab/>
            </w:r>
            <w:r w:rsidR="003109E4">
              <w:rPr>
                <w:noProof/>
                <w:webHidden/>
              </w:rPr>
              <w:fldChar w:fldCharType="begin"/>
            </w:r>
            <w:r w:rsidR="003109E4">
              <w:rPr>
                <w:noProof/>
                <w:webHidden/>
              </w:rPr>
              <w:instrText xml:space="preserve"> PAGEREF _Toc71740828 \h </w:instrText>
            </w:r>
            <w:r w:rsidR="003109E4">
              <w:rPr>
                <w:noProof/>
                <w:webHidden/>
              </w:rPr>
            </w:r>
            <w:r w:rsidR="003109E4">
              <w:rPr>
                <w:noProof/>
                <w:webHidden/>
              </w:rPr>
              <w:fldChar w:fldCharType="separate"/>
            </w:r>
            <w:r w:rsidR="003109E4">
              <w:rPr>
                <w:noProof/>
                <w:webHidden/>
              </w:rPr>
              <w:t>10</w:t>
            </w:r>
            <w:r w:rsidR="003109E4">
              <w:rPr>
                <w:noProof/>
                <w:webHidden/>
              </w:rPr>
              <w:fldChar w:fldCharType="end"/>
            </w:r>
          </w:hyperlink>
        </w:p>
        <w:p w14:paraId="38EECE3F" w14:textId="39DA10F6" w:rsidR="003109E4" w:rsidRDefault="00C926E1">
          <w:pPr>
            <w:pStyle w:val="TOC2"/>
            <w:rPr>
              <w:rFonts w:asciiTheme="minorHAnsi" w:eastAsiaTheme="minorEastAsia" w:hAnsiTheme="minorHAnsi"/>
              <w:noProof/>
              <w:szCs w:val="22"/>
            </w:rPr>
          </w:pPr>
          <w:hyperlink w:anchor="_Toc71740829" w:history="1">
            <w:r w:rsidR="003109E4" w:rsidRPr="000971A5">
              <w:rPr>
                <w:rStyle w:val="Hyperlink"/>
                <w:noProof/>
              </w:rPr>
              <w:t>2.7</w:t>
            </w:r>
            <w:r w:rsidR="003109E4">
              <w:rPr>
                <w:rFonts w:asciiTheme="minorHAnsi" w:eastAsiaTheme="minorEastAsia" w:hAnsiTheme="minorHAnsi"/>
                <w:noProof/>
                <w:szCs w:val="22"/>
              </w:rPr>
              <w:tab/>
            </w:r>
            <w:r w:rsidR="003109E4" w:rsidRPr="000971A5">
              <w:rPr>
                <w:rStyle w:val="Hyperlink"/>
                <w:noProof/>
              </w:rPr>
              <w:t>Draft Project Development Schedule</w:t>
            </w:r>
            <w:r w:rsidR="003109E4">
              <w:rPr>
                <w:noProof/>
                <w:webHidden/>
              </w:rPr>
              <w:tab/>
            </w:r>
            <w:r w:rsidR="003109E4">
              <w:rPr>
                <w:noProof/>
                <w:webHidden/>
              </w:rPr>
              <w:fldChar w:fldCharType="begin"/>
            </w:r>
            <w:r w:rsidR="003109E4">
              <w:rPr>
                <w:noProof/>
                <w:webHidden/>
              </w:rPr>
              <w:instrText xml:space="preserve"> PAGEREF _Toc71740829 \h </w:instrText>
            </w:r>
            <w:r w:rsidR="003109E4">
              <w:rPr>
                <w:noProof/>
                <w:webHidden/>
              </w:rPr>
            </w:r>
            <w:r w:rsidR="003109E4">
              <w:rPr>
                <w:noProof/>
                <w:webHidden/>
              </w:rPr>
              <w:fldChar w:fldCharType="separate"/>
            </w:r>
            <w:r w:rsidR="003109E4">
              <w:rPr>
                <w:noProof/>
                <w:webHidden/>
              </w:rPr>
              <w:t>12</w:t>
            </w:r>
            <w:r w:rsidR="003109E4">
              <w:rPr>
                <w:noProof/>
                <w:webHidden/>
              </w:rPr>
              <w:fldChar w:fldCharType="end"/>
            </w:r>
          </w:hyperlink>
        </w:p>
        <w:p w14:paraId="4EFCF10D" w14:textId="3C6B2526" w:rsidR="00B61BF3" w:rsidRPr="0049268D" w:rsidRDefault="00D80305" w:rsidP="00A53F08">
          <w:pPr>
            <w:pStyle w:val="TOC2"/>
            <w:rPr>
              <w:szCs w:val="22"/>
            </w:rPr>
          </w:pPr>
          <w:r>
            <w:rPr>
              <w:rFonts w:ascii="Cambria" w:hAnsi="Cambria"/>
              <w:b/>
              <w:noProof/>
              <w:szCs w:val="22"/>
            </w:rPr>
            <w:fldChar w:fldCharType="end"/>
          </w:r>
        </w:p>
      </w:sdtContent>
    </w:sdt>
    <w:p w14:paraId="645B9AED" w14:textId="77777777" w:rsidR="00A53F08" w:rsidRDefault="00A53F08" w:rsidP="00A53F08">
      <w:pPr>
        <w:spacing w:after="0"/>
        <w:rPr>
          <w:rFonts w:ascii="Futura Lt BT" w:hAnsi="Futura Lt BT"/>
          <w:color w:val="1F497D" w:themeColor="text2"/>
          <w:szCs w:val="22"/>
        </w:rPr>
      </w:pPr>
    </w:p>
    <w:p w14:paraId="3050AAB7" w14:textId="4E1A5C81" w:rsidR="00E61837" w:rsidRPr="00D80305" w:rsidRDefault="00E61837" w:rsidP="00E61837">
      <w:pPr>
        <w:rPr>
          <w:rFonts w:ascii="Futura Lt BT" w:hAnsi="Futura Lt BT"/>
          <w:color w:val="1F497D" w:themeColor="text2"/>
          <w:szCs w:val="22"/>
        </w:rPr>
      </w:pPr>
      <w:r>
        <w:rPr>
          <w:rFonts w:ascii="Futura Lt BT" w:hAnsi="Futura Lt BT"/>
          <w:color w:val="1F497D" w:themeColor="text2"/>
          <w:szCs w:val="22"/>
        </w:rPr>
        <w:t>TABLES</w:t>
      </w:r>
    </w:p>
    <w:p w14:paraId="6B831196" w14:textId="5AD83D00" w:rsidR="00FD02F1" w:rsidRDefault="00E61837" w:rsidP="00025E62">
      <w:pPr>
        <w:pStyle w:val="NoSpacing"/>
        <w:spacing w:line="240" w:lineRule="auto"/>
        <w:ind w:firstLine="187"/>
        <w:rPr>
          <w:rFonts w:cs="Arial"/>
          <w:sz w:val="21"/>
          <w:szCs w:val="21"/>
        </w:rPr>
      </w:pPr>
      <w:r>
        <w:rPr>
          <w:rFonts w:cs="Arial"/>
          <w:sz w:val="21"/>
          <w:szCs w:val="21"/>
        </w:rPr>
        <w:t xml:space="preserve">Table </w:t>
      </w:r>
      <w:r w:rsidR="000E3D40">
        <w:rPr>
          <w:rFonts w:cs="Arial"/>
          <w:sz w:val="21"/>
          <w:szCs w:val="21"/>
        </w:rPr>
        <w:t>1</w:t>
      </w:r>
      <w:r>
        <w:rPr>
          <w:rFonts w:cs="Arial"/>
          <w:sz w:val="21"/>
          <w:szCs w:val="21"/>
        </w:rPr>
        <w:t>:</w:t>
      </w:r>
      <w:r>
        <w:rPr>
          <w:rFonts w:cs="Arial"/>
          <w:sz w:val="21"/>
          <w:szCs w:val="21"/>
        </w:rPr>
        <w:tab/>
      </w:r>
      <w:r w:rsidR="00FD02F1">
        <w:rPr>
          <w:rFonts w:cs="Arial"/>
          <w:sz w:val="21"/>
          <w:szCs w:val="21"/>
        </w:rPr>
        <w:t>Building Information</w:t>
      </w:r>
    </w:p>
    <w:p w14:paraId="65312082" w14:textId="6890E88A" w:rsidR="00E61837" w:rsidRDefault="00FD02F1" w:rsidP="00025E62">
      <w:pPr>
        <w:pStyle w:val="NoSpacing"/>
        <w:spacing w:line="240" w:lineRule="auto"/>
        <w:ind w:firstLine="187"/>
        <w:rPr>
          <w:sz w:val="21"/>
          <w:szCs w:val="21"/>
        </w:rPr>
      </w:pPr>
      <w:r>
        <w:rPr>
          <w:sz w:val="21"/>
          <w:szCs w:val="21"/>
        </w:rPr>
        <w:t xml:space="preserve">Table </w:t>
      </w:r>
      <w:r w:rsidR="000E3D40">
        <w:rPr>
          <w:sz w:val="21"/>
          <w:szCs w:val="21"/>
        </w:rPr>
        <w:t>2</w:t>
      </w:r>
      <w:r>
        <w:rPr>
          <w:sz w:val="21"/>
          <w:szCs w:val="21"/>
        </w:rPr>
        <w:t>:</w:t>
      </w:r>
      <w:r>
        <w:rPr>
          <w:sz w:val="21"/>
          <w:szCs w:val="21"/>
        </w:rPr>
        <w:tab/>
      </w:r>
      <w:r w:rsidR="00E61837">
        <w:rPr>
          <w:sz w:val="21"/>
          <w:szCs w:val="21"/>
        </w:rPr>
        <w:t xml:space="preserve">Income </w:t>
      </w:r>
      <w:r w:rsidR="003C40B6">
        <w:rPr>
          <w:sz w:val="21"/>
          <w:szCs w:val="21"/>
        </w:rPr>
        <w:t xml:space="preserve">and Rent </w:t>
      </w:r>
      <w:r w:rsidR="00E61837">
        <w:rPr>
          <w:sz w:val="21"/>
          <w:szCs w:val="21"/>
        </w:rPr>
        <w:t xml:space="preserve">Limits </w:t>
      </w:r>
    </w:p>
    <w:p w14:paraId="28B8FC69" w14:textId="6F55A3CE" w:rsidR="00E61837" w:rsidRDefault="00E61837" w:rsidP="00025E62">
      <w:pPr>
        <w:pStyle w:val="NoSpacing"/>
        <w:spacing w:line="240" w:lineRule="auto"/>
        <w:ind w:firstLine="187"/>
        <w:rPr>
          <w:sz w:val="21"/>
          <w:szCs w:val="21"/>
        </w:rPr>
      </w:pPr>
      <w:r>
        <w:rPr>
          <w:rFonts w:cs="Arial"/>
          <w:sz w:val="21"/>
          <w:szCs w:val="21"/>
        </w:rPr>
        <w:t xml:space="preserve">Table </w:t>
      </w:r>
      <w:r w:rsidR="000E3D40">
        <w:rPr>
          <w:rFonts w:cs="Arial"/>
          <w:sz w:val="21"/>
          <w:szCs w:val="21"/>
        </w:rPr>
        <w:t>3</w:t>
      </w:r>
      <w:r>
        <w:rPr>
          <w:rFonts w:cs="Arial"/>
          <w:sz w:val="21"/>
          <w:szCs w:val="21"/>
        </w:rPr>
        <w:t>:</w:t>
      </w:r>
      <w:r>
        <w:rPr>
          <w:rFonts w:cs="Arial"/>
          <w:sz w:val="21"/>
          <w:szCs w:val="21"/>
        </w:rPr>
        <w:tab/>
      </w:r>
      <w:r>
        <w:rPr>
          <w:sz w:val="21"/>
          <w:szCs w:val="21"/>
        </w:rPr>
        <w:t>Recommended Plant List</w:t>
      </w:r>
    </w:p>
    <w:p w14:paraId="2AE99604" w14:textId="77777777" w:rsidR="00025E62" w:rsidRDefault="00E61837" w:rsidP="00025E62">
      <w:pPr>
        <w:pStyle w:val="NoSpacing"/>
        <w:spacing w:line="240" w:lineRule="auto"/>
        <w:ind w:firstLine="180"/>
        <w:rPr>
          <w:sz w:val="21"/>
          <w:szCs w:val="21"/>
        </w:rPr>
      </w:pPr>
      <w:r>
        <w:rPr>
          <w:sz w:val="21"/>
          <w:szCs w:val="21"/>
        </w:rPr>
        <w:t xml:space="preserve">Table </w:t>
      </w:r>
      <w:r w:rsidR="000E3D40">
        <w:rPr>
          <w:sz w:val="21"/>
          <w:szCs w:val="21"/>
        </w:rPr>
        <w:t>4</w:t>
      </w:r>
      <w:r>
        <w:rPr>
          <w:sz w:val="21"/>
          <w:szCs w:val="21"/>
        </w:rPr>
        <w:t xml:space="preserve">: </w:t>
      </w:r>
      <w:r>
        <w:rPr>
          <w:sz w:val="21"/>
          <w:szCs w:val="21"/>
        </w:rPr>
        <w:tab/>
        <w:t>Proposed Wastewater Design Flow</w:t>
      </w:r>
    </w:p>
    <w:p w14:paraId="75B754A8" w14:textId="3BC5B626" w:rsidR="00025E62" w:rsidRPr="00025E62" w:rsidRDefault="00025E62" w:rsidP="00025E62">
      <w:pPr>
        <w:pStyle w:val="NoSpacing"/>
        <w:spacing w:line="240" w:lineRule="auto"/>
        <w:ind w:firstLine="180"/>
        <w:rPr>
          <w:sz w:val="21"/>
          <w:szCs w:val="21"/>
        </w:rPr>
      </w:pPr>
      <w:r>
        <w:rPr>
          <w:sz w:val="21"/>
          <w:szCs w:val="21"/>
        </w:rPr>
        <w:t>Table 5:</w:t>
      </w:r>
      <w:r>
        <w:rPr>
          <w:sz w:val="21"/>
          <w:szCs w:val="21"/>
        </w:rPr>
        <w:tab/>
        <w:t xml:space="preserve">Draft Project Schedule </w:t>
      </w:r>
    </w:p>
    <w:p w14:paraId="46C3BBFE" w14:textId="77777777" w:rsidR="00E61837" w:rsidRDefault="00E61837" w:rsidP="00E61837">
      <w:pPr>
        <w:pStyle w:val="NoSpacing"/>
        <w:ind w:firstLine="180"/>
        <w:rPr>
          <w:rFonts w:cs="Arial"/>
          <w:sz w:val="21"/>
          <w:szCs w:val="21"/>
        </w:rPr>
      </w:pPr>
    </w:p>
    <w:p w14:paraId="36F9D0D3" w14:textId="155BC3E2" w:rsidR="0049268D" w:rsidRPr="00D80305" w:rsidRDefault="0082094D" w:rsidP="0049268D">
      <w:pPr>
        <w:rPr>
          <w:rFonts w:ascii="Futura Lt BT" w:hAnsi="Futura Lt BT"/>
          <w:color w:val="1F497D" w:themeColor="text2"/>
          <w:szCs w:val="22"/>
        </w:rPr>
      </w:pPr>
      <w:r>
        <w:rPr>
          <w:rFonts w:ascii="Futura Lt BT" w:hAnsi="Futura Lt BT"/>
          <w:color w:val="1F497D" w:themeColor="text2"/>
          <w:szCs w:val="22"/>
        </w:rPr>
        <w:t>FIGURES</w:t>
      </w:r>
    </w:p>
    <w:p w14:paraId="28CD074B" w14:textId="7F3F8FEA" w:rsidR="0049268D" w:rsidRPr="000519E6" w:rsidRDefault="0049268D" w:rsidP="00840ACB">
      <w:pPr>
        <w:pStyle w:val="NoSpacing"/>
        <w:spacing w:after="120"/>
        <w:ind w:firstLine="180"/>
        <w:rPr>
          <w:rFonts w:cs="Arial"/>
          <w:sz w:val="21"/>
          <w:szCs w:val="21"/>
        </w:rPr>
      </w:pPr>
      <w:bookmarkStart w:id="0" w:name="_Hlk39488605"/>
      <w:r w:rsidRPr="000519E6">
        <w:rPr>
          <w:rFonts w:cs="Arial"/>
          <w:sz w:val="21"/>
          <w:szCs w:val="21"/>
        </w:rPr>
        <w:t xml:space="preserve">Figure 1 </w:t>
      </w:r>
      <w:r w:rsidR="007803F7" w:rsidRPr="000519E6">
        <w:rPr>
          <w:rFonts w:cs="Arial"/>
          <w:sz w:val="21"/>
          <w:szCs w:val="21"/>
        </w:rPr>
        <w:t>–</w:t>
      </w:r>
      <w:r w:rsidRPr="000519E6">
        <w:rPr>
          <w:rFonts w:cs="Arial"/>
          <w:sz w:val="21"/>
          <w:szCs w:val="21"/>
        </w:rPr>
        <w:t xml:space="preserve"> USGS</w:t>
      </w:r>
      <w:r w:rsidR="007803F7" w:rsidRPr="000519E6">
        <w:rPr>
          <w:rFonts w:cs="Arial"/>
          <w:sz w:val="21"/>
          <w:szCs w:val="21"/>
        </w:rPr>
        <w:t xml:space="preserve"> </w:t>
      </w:r>
      <w:r w:rsidR="004815DF">
        <w:rPr>
          <w:rFonts w:cs="Arial"/>
          <w:sz w:val="21"/>
          <w:szCs w:val="21"/>
        </w:rPr>
        <w:t>Locus</w:t>
      </w:r>
      <w:r w:rsidRPr="000519E6">
        <w:rPr>
          <w:rFonts w:cs="Arial"/>
          <w:sz w:val="21"/>
          <w:szCs w:val="21"/>
        </w:rPr>
        <w:t xml:space="preserve"> Map</w:t>
      </w:r>
    </w:p>
    <w:p w14:paraId="5C9D9D83" w14:textId="1E58C8C0" w:rsidR="0049268D" w:rsidRPr="000519E6" w:rsidRDefault="0049268D" w:rsidP="00840ACB">
      <w:pPr>
        <w:pStyle w:val="NoSpacing"/>
        <w:spacing w:after="120"/>
        <w:ind w:left="180"/>
        <w:rPr>
          <w:rFonts w:cs="Arial"/>
          <w:sz w:val="21"/>
          <w:szCs w:val="21"/>
        </w:rPr>
      </w:pPr>
      <w:r w:rsidRPr="000519E6">
        <w:rPr>
          <w:rFonts w:cs="Arial"/>
          <w:sz w:val="21"/>
          <w:szCs w:val="21"/>
        </w:rPr>
        <w:t xml:space="preserve">Figure 2 </w:t>
      </w:r>
      <w:r w:rsidR="007803F7" w:rsidRPr="000519E6">
        <w:rPr>
          <w:rFonts w:cs="Arial"/>
          <w:sz w:val="21"/>
          <w:szCs w:val="21"/>
        </w:rPr>
        <w:t>–</w:t>
      </w:r>
      <w:r w:rsidRPr="000519E6">
        <w:rPr>
          <w:rFonts w:cs="Arial"/>
          <w:sz w:val="21"/>
          <w:szCs w:val="21"/>
        </w:rPr>
        <w:t xml:space="preserve"> </w:t>
      </w:r>
      <w:r w:rsidR="004815DF">
        <w:rPr>
          <w:rFonts w:cs="Arial"/>
          <w:sz w:val="21"/>
          <w:szCs w:val="21"/>
        </w:rPr>
        <w:t>Soils Map</w:t>
      </w:r>
    </w:p>
    <w:p w14:paraId="25B09F8E" w14:textId="4480F4C6" w:rsidR="001F73C6" w:rsidRPr="000519E6" w:rsidRDefault="0049268D" w:rsidP="00840ACB">
      <w:pPr>
        <w:pStyle w:val="NoSpacing"/>
        <w:spacing w:after="120"/>
        <w:ind w:left="180"/>
        <w:rPr>
          <w:rFonts w:cs="Arial"/>
          <w:sz w:val="21"/>
          <w:szCs w:val="21"/>
        </w:rPr>
      </w:pPr>
      <w:r w:rsidRPr="000519E6">
        <w:rPr>
          <w:rFonts w:cs="Arial"/>
          <w:sz w:val="21"/>
          <w:szCs w:val="21"/>
        </w:rPr>
        <w:t xml:space="preserve">Figure 3 </w:t>
      </w:r>
      <w:r w:rsidR="007803F7" w:rsidRPr="000519E6">
        <w:rPr>
          <w:rFonts w:cs="Arial"/>
          <w:sz w:val="21"/>
          <w:szCs w:val="21"/>
        </w:rPr>
        <w:t>–</w:t>
      </w:r>
      <w:r w:rsidR="001F73C6" w:rsidRPr="000519E6">
        <w:rPr>
          <w:rFonts w:cs="Arial"/>
          <w:sz w:val="21"/>
          <w:szCs w:val="21"/>
        </w:rPr>
        <w:t xml:space="preserve"> FEMA Flood Zones </w:t>
      </w:r>
    </w:p>
    <w:p w14:paraId="7E6A8375" w14:textId="4F1A2F03" w:rsidR="004815DF" w:rsidRPr="00B9532B" w:rsidRDefault="0049268D" w:rsidP="004815DF">
      <w:pPr>
        <w:ind w:firstLine="180"/>
        <w:rPr>
          <w:rFonts w:cs="Arial"/>
          <w:sz w:val="24"/>
        </w:rPr>
      </w:pPr>
      <w:r w:rsidRPr="000519E6">
        <w:rPr>
          <w:rFonts w:cs="Arial"/>
          <w:sz w:val="21"/>
          <w:szCs w:val="21"/>
        </w:rPr>
        <w:t xml:space="preserve">Figure 4 </w:t>
      </w:r>
      <w:r w:rsidR="007803F7" w:rsidRPr="000519E6">
        <w:rPr>
          <w:rFonts w:cs="Arial"/>
          <w:sz w:val="21"/>
          <w:szCs w:val="21"/>
        </w:rPr>
        <w:t>–</w:t>
      </w:r>
      <w:r w:rsidRPr="000519E6">
        <w:rPr>
          <w:rFonts w:cs="Arial"/>
          <w:sz w:val="21"/>
          <w:szCs w:val="21"/>
        </w:rPr>
        <w:t xml:space="preserve"> </w:t>
      </w:r>
      <w:r w:rsidR="001F73C6" w:rsidRPr="000519E6">
        <w:rPr>
          <w:rFonts w:cs="Arial"/>
          <w:sz w:val="21"/>
          <w:szCs w:val="21"/>
        </w:rPr>
        <w:t>Environmental Constraints</w:t>
      </w:r>
    </w:p>
    <w:bookmarkEnd w:id="0"/>
    <w:p w14:paraId="4629EEC6" w14:textId="11D81F28" w:rsidR="00113F7E" w:rsidRPr="0082094D" w:rsidRDefault="00113F7E" w:rsidP="0082094D">
      <w:pPr>
        <w:pStyle w:val="NoSpacing"/>
        <w:ind w:firstLine="180"/>
        <w:rPr>
          <w:sz w:val="21"/>
          <w:szCs w:val="21"/>
        </w:rPr>
        <w:sectPr w:rsidR="00113F7E" w:rsidRPr="0082094D" w:rsidSect="007B1138">
          <w:footerReference w:type="default" r:id="rId8"/>
          <w:pgSz w:w="12240" w:h="15840"/>
          <w:pgMar w:top="1440" w:right="1440" w:bottom="1440" w:left="1440" w:header="720" w:footer="720" w:gutter="0"/>
          <w:pgNumType w:fmt="lowerRoman"/>
          <w:cols w:space="720"/>
          <w:docGrid w:linePitch="360"/>
        </w:sectPr>
      </w:pPr>
    </w:p>
    <w:p w14:paraId="0C7CFE89" w14:textId="77777777" w:rsidR="00F70FDA" w:rsidRPr="00A3157C" w:rsidRDefault="00F70FDA" w:rsidP="00F70FDA">
      <w:pPr>
        <w:pStyle w:val="Title"/>
        <w:jc w:val="center"/>
        <w:rPr>
          <w:color w:val="auto"/>
          <w:szCs w:val="28"/>
        </w:rPr>
      </w:pPr>
      <w:r>
        <w:rPr>
          <w:color w:val="auto"/>
          <w:szCs w:val="28"/>
        </w:rPr>
        <w:lastRenderedPageBreak/>
        <w:t>Cape View Way</w:t>
      </w:r>
    </w:p>
    <w:p w14:paraId="323D879E" w14:textId="77777777" w:rsidR="00F70FDA" w:rsidRDefault="00F70FDA" w:rsidP="00F70FDA">
      <w:pPr>
        <w:pStyle w:val="Title"/>
        <w:jc w:val="center"/>
        <w:rPr>
          <w:color w:val="auto"/>
          <w:szCs w:val="28"/>
        </w:rPr>
      </w:pPr>
      <w:r>
        <w:rPr>
          <w:color w:val="auto"/>
          <w:szCs w:val="28"/>
        </w:rPr>
        <w:t>Bourne, MA</w:t>
      </w:r>
    </w:p>
    <w:p w14:paraId="7D887490" w14:textId="77777777" w:rsidR="00F70FDA" w:rsidRDefault="00F70FDA" w:rsidP="00F70FDA">
      <w:pPr>
        <w:pStyle w:val="Title"/>
        <w:jc w:val="center"/>
        <w:rPr>
          <w:color w:val="auto"/>
          <w:szCs w:val="28"/>
        </w:rPr>
      </w:pPr>
      <w:r>
        <w:rPr>
          <w:color w:val="auto"/>
          <w:szCs w:val="28"/>
        </w:rPr>
        <w:t>Project Narrative</w:t>
      </w:r>
    </w:p>
    <w:p w14:paraId="15800E2E" w14:textId="6A6ECB64" w:rsidR="00A53F08" w:rsidRDefault="00B62DF3" w:rsidP="00310D7A">
      <w:pPr>
        <w:jc w:val="center"/>
      </w:pPr>
      <w:r>
        <w:t>May</w:t>
      </w:r>
      <w:r w:rsidR="00F70FDA">
        <w:t xml:space="preserve"> </w:t>
      </w:r>
      <w:r w:rsidR="00F737A2">
        <w:t xml:space="preserve">13, </w:t>
      </w:r>
      <w:r w:rsidR="00F70FDA">
        <w:t>2021</w:t>
      </w:r>
    </w:p>
    <w:p w14:paraId="176D1DA7" w14:textId="16B53BB0" w:rsidR="001A72FC" w:rsidRPr="00A302F6" w:rsidRDefault="00713CFE" w:rsidP="00A302F6">
      <w:pPr>
        <w:pStyle w:val="Heading1"/>
      </w:pPr>
      <w:bookmarkStart w:id="1" w:name="_Toc71740816"/>
      <w:r w:rsidRPr="00A302F6">
        <w:rPr>
          <w:caps w:val="0"/>
        </w:rPr>
        <w:t xml:space="preserve">INTRODUCTION &amp; </w:t>
      </w:r>
      <w:r>
        <w:rPr>
          <w:caps w:val="0"/>
        </w:rPr>
        <w:t xml:space="preserve">GENERAL </w:t>
      </w:r>
      <w:r w:rsidRPr="00BA67E4">
        <w:rPr>
          <w:caps w:val="0"/>
          <w:color w:val="1F497D"/>
        </w:rPr>
        <w:t>DESCRIPTION</w:t>
      </w:r>
      <w:bookmarkEnd w:id="1"/>
    </w:p>
    <w:p w14:paraId="730E2B54" w14:textId="67CF3C7C" w:rsidR="00BA67E4" w:rsidRDefault="00BA67E4" w:rsidP="0034337E">
      <w:pPr>
        <w:tabs>
          <w:tab w:val="left" w:pos="7884"/>
        </w:tabs>
        <w:spacing w:after="0"/>
        <w:rPr>
          <w:rFonts w:eastAsia="Times New Roman" w:cs="Arial"/>
          <w:color w:val="000000"/>
          <w:szCs w:val="22"/>
        </w:rPr>
      </w:pPr>
      <w:bookmarkStart w:id="2" w:name="_Toc32330077"/>
      <w:r>
        <w:rPr>
          <w:rFonts w:cs="Arial"/>
          <w:szCs w:val="22"/>
        </w:rPr>
        <w:t>The Applicant</w:t>
      </w:r>
      <w:r w:rsidR="00593747">
        <w:rPr>
          <w:rFonts w:cs="Arial"/>
          <w:szCs w:val="22"/>
        </w:rPr>
        <w:t>s</w:t>
      </w:r>
      <w:r>
        <w:rPr>
          <w:rFonts w:cs="Arial"/>
          <w:szCs w:val="22"/>
        </w:rPr>
        <w:t xml:space="preserve"> </w:t>
      </w:r>
      <w:r w:rsidR="00593747">
        <w:rPr>
          <w:rFonts w:cs="Arial"/>
          <w:szCs w:val="22"/>
        </w:rPr>
        <w:t>were selected by the Bourne Housing Authority to develop the Property for up to 60 affordable housing units</w:t>
      </w:r>
      <w:r w:rsidR="008E4867">
        <w:rPr>
          <w:rFonts w:cs="Arial"/>
          <w:szCs w:val="22"/>
        </w:rPr>
        <w:t xml:space="preserve"> - after the Bourne Town Meeting voted to have the Property used for affordable housing.  The </w:t>
      </w:r>
      <w:r w:rsidR="00593747">
        <w:rPr>
          <w:rFonts w:cs="Arial"/>
          <w:szCs w:val="22"/>
        </w:rPr>
        <w:t xml:space="preserve">Applicants </w:t>
      </w:r>
      <w:r>
        <w:rPr>
          <w:rFonts w:cs="Arial"/>
          <w:szCs w:val="22"/>
        </w:rPr>
        <w:t xml:space="preserve">propose to develop the Property into a </w:t>
      </w:r>
      <w:r w:rsidR="00F70FDA">
        <w:rPr>
          <w:rFonts w:cs="Arial"/>
          <w:szCs w:val="22"/>
        </w:rPr>
        <w:t>51</w:t>
      </w:r>
      <w:r>
        <w:rPr>
          <w:rFonts w:cs="Arial"/>
          <w:szCs w:val="22"/>
        </w:rPr>
        <w:t xml:space="preserve">-unit </w:t>
      </w:r>
      <w:r w:rsidR="00A018AE">
        <w:rPr>
          <w:rFonts w:cs="Arial"/>
          <w:szCs w:val="22"/>
        </w:rPr>
        <w:t>affordable housing</w:t>
      </w:r>
      <w:r>
        <w:rPr>
          <w:rFonts w:cs="Arial"/>
          <w:szCs w:val="22"/>
        </w:rPr>
        <w:t xml:space="preserve"> residential development (“Development”)</w:t>
      </w:r>
      <w:r w:rsidR="008E4867">
        <w:rPr>
          <w:rFonts w:cs="Arial"/>
          <w:szCs w:val="22"/>
        </w:rPr>
        <w:t>, as that is what is appropriate for the Property.</w:t>
      </w:r>
      <w:r>
        <w:rPr>
          <w:rFonts w:eastAsia="Times New Roman" w:cs="Arial"/>
          <w:color w:val="000000"/>
          <w:szCs w:val="22"/>
        </w:rPr>
        <w:t xml:space="preserve"> </w:t>
      </w:r>
      <w:r w:rsidR="00593747">
        <w:rPr>
          <w:rFonts w:eastAsia="Times New Roman" w:cs="Arial"/>
          <w:color w:val="000000"/>
          <w:szCs w:val="22"/>
        </w:rPr>
        <w:t xml:space="preserve"> </w:t>
      </w:r>
    </w:p>
    <w:p w14:paraId="01A13A4B" w14:textId="77777777" w:rsidR="00BA67E4" w:rsidRDefault="00BA67E4" w:rsidP="0034337E">
      <w:pPr>
        <w:tabs>
          <w:tab w:val="left" w:pos="7884"/>
        </w:tabs>
        <w:spacing w:after="0"/>
        <w:ind w:left="720"/>
        <w:jc w:val="both"/>
        <w:rPr>
          <w:rFonts w:cs="Arial"/>
          <w:szCs w:val="22"/>
        </w:rPr>
      </w:pPr>
    </w:p>
    <w:p w14:paraId="733E0A43" w14:textId="0950C3FF" w:rsidR="00310D7A" w:rsidRDefault="00310D7A" w:rsidP="0034337E">
      <w:pPr>
        <w:pStyle w:val="Heading2"/>
      </w:pPr>
      <w:bookmarkStart w:id="3" w:name="_Toc71740817"/>
      <w:bookmarkEnd w:id="2"/>
      <w:r>
        <w:t>Existing Conditions</w:t>
      </w:r>
      <w:bookmarkEnd w:id="3"/>
      <w:r>
        <w:t xml:space="preserve"> </w:t>
      </w:r>
    </w:p>
    <w:p w14:paraId="16B151B3" w14:textId="2244F9F1" w:rsidR="003D0DBC" w:rsidRDefault="00F70FDA" w:rsidP="0034337E">
      <w:r w:rsidRPr="00F70FDA">
        <w:t xml:space="preserve">The Property is located in an R-40 Zoning District and is vacant except for some existing subdivision infrastructure (including two hydrants and some existing pavement and a water line) which will be removed and replaced with new infrastructure. </w:t>
      </w:r>
      <w:r w:rsidR="000871AB">
        <w:t xml:space="preserve">The site is </w:t>
      </w:r>
      <w:r>
        <w:t xml:space="preserve">3.07-acres located </w:t>
      </w:r>
      <w:r w:rsidR="00A018AE">
        <w:t xml:space="preserve">on Cape View Way, </w:t>
      </w:r>
      <w:r>
        <w:t xml:space="preserve">off of Meetinghouse </w:t>
      </w:r>
      <w:r w:rsidR="00E77D1B">
        <w:t>Lane and</w:t>
      </w:r>
      <w:r w:rsidR="00150BB6">
        <w:t xml:space="preserve"> is characterized by dense vegetation and invasive species</w:t>
      </w:r>
      <w:r>
        <w:t>.</w:t>
      </w:r>
      <w:r w:rsidR="00150BB6">
        <w:t xml:space="preserve"> </w:t>
      </w:r>
      <w:r w:rsidR="00150BB6" w:rsidRPr="00150BB6">
        <w:t>The existing Cape View Way road has a paved surface that extends approximately 145 feet from Meetinghouse Lane. The road then continues as a dirt road.</w:t>
      </w:r>
      <w:r w:rsidR="000871AB">
        <w:t xml:space="preserve"> </w:t>
      </w:r>
      <w:r>
        <w:t>A wetland is located on the western</w:t>
      </w:r>
      <w:r w:rsidR="000871AB">
        <w:t xml:space="preserve"> portion of the </w:t>
      </w:r>
      <w:r w:rsidR="003D0DBC">
        <w:t>P</w:t>
      </w:r>
      <w:r w:rsidR="000871AB">
        <w:t>roperty.</w:t>
      </w:r>
      <w:r w:rsidR="00FB7C85">
        <w:t xml:space="preserve"> </w:t>
      </w:r>
    </w:p>
    <w:p w14:paraId="256C59BD" w14:textId="08DD915A" w:rsidR="00F70FDA" w:rsidRDefault="00F70FDA" w:rsidP="0034337E">
      <w:r w:rsidRPr="00F70FDA">
        <w:t>The site is bordered by Cherry Hill Court to the east and Meetinghouse Lane and commercial properties to the south. The site abuts residential properties located on Homestead Road, Homestead Road Extension, and Andrew Road to the west</w:t>
      </w:r>
      <w:r w:rsidR="00A018AE">
        <w:t xml:space="preserve">, </w:t>
      </w:r>
      <w:r w:rsidR="000E3D40">
        <w:t xml:space="preserve">and </w:t>
      </w:r>
      <w:r w:rsidRPr="00F70FDA">
        <w:t xml:space="preserve">the Bourne Fire </w:t>
      </w:r>
      <w:r w:rsidR="00A1014B" w:rsidRPr="00F70FDA">
        <w:t>Department</w:t>
      </w:r>
      <w:r w:rsidR="000E3D40">
        <w:t xml:space="preserve"> and</w:t>
      </w:r>
      <w:r w:rsidR="00A1014B" w:rsidRPr="00F70FDA">
        <w:t xml:space="preserve"> United</w:t>
      </w:r>
      <w:r w:rsidRPr="00F70FDA">
        <w:t xml:space="preserve"> States Postal Service</w:t>
      </w:r>
      <w:r w:rsidR="000E3D40">
        <w:t xml:space="preserve"> </w:t>
      </w:r>
      <w:r w:rsidR="00A018AE">
        <w:t>to the south.  It is also conveniently</w:t>
      </w:r>
      <w:r w:rsidRPr="00F70FDA">
        <w:t xml:space="preserve"> located </w:t>
      </w:r>
      <w:r w:rsidR="00914A11">
        <w:t>within walking distance to</w:t>
      </w:r>
      <w:r w:rsidR="00914A11" w:rsidRPr="00F70FDA">
        <w:t xml:space="preserve"> </w:t>
      </w:r>
      <w:r w:rsidR="00A018AE">
        <w:t xml:space="preserve">public </w:t>
      </w:r>
      <w:r w:rsidRPr="00F70FDA">
        <w:t xml:space="preserve">transit and </w:t>
      </w:r>
      <w:r w:rsidR="00914A11">
        <w:t xml:space="preserve">local </w:t>
      </w:r>
      <w:r w:rsidRPr="00F70FDA">
        <w:t>amenities</w:t>
      </w:r>
      <w:r w:rsidR="00150BB6">
        <w:t xml:space="preserve"> (Figure 1)</w:t>
      </w:r>
      <w:r w:rsidRPr="00F70FDA">
        <w:t xml:space="preserve">. </w:t>
      </w:r>
    </w:p>
    <w:p w14:paraId="5424C735" w14:textId="119D9CEF" w:rsidR="000871AB" w:rsidRPr="00080975" w:rsidRDefault="00150BB6" w:rsidP="0034337E">
      <w:r w:rsidRPr="00150BB6">
        <w:t xml:space="preserve">The general topography of the site slopes toward the east. The site’s topography includes some fairly significant grade changes. There are two small </w:t>
      </w:r>
      <w:r w:rsidR="000162DE">
        <w:t>earthen mounds</w:t>
      </w:r>
      <w:r w:rsidR="000162DE" w:rsidRPr="00150BB6">
        <w:t xml:space="preserve"> </w:t>
      </w:r>
      <w:r w:rsidRPr="00150BB6">
        <w:t>towards the center of the site. Overall, the site exhibits elevation changes of 58 to 74 feet above mean sea level</w:t>
      </w:r>
      <w:r>
        <w:t xml:space="preserve">. </w:t>
      </w:r>
      <w:r w:rsidR="000871AB">
        <w:t xml:space="preserve">The site generally drains from north/northeast to </w:t>
      </w:r>
      <w:r w:rsidR="00FB7C85">
        <w:t xml:space="preserve">the </w:t>
      </w:r>
      <w:r w:rsidR="000871AB">
        <w:t xml:space="preserve">southwest corner. </w:t>
      </w:r>
    </w:p>
    <w:p w14:paraId="4EE2AC9F" w14:textId="0D30B91C" w:rsidR="000162DE" w:rsidRDefault="000162DE" w:rsidP="0034337E">
      <w:pPr>
        <w:pStyle w:val="Heading2"/>
      </w:pPr>
      <w:bookmarkStart w:id="4" w:name="_Toc71740818"/>
      <w:r>
        <w:t>Soils</w:t>
      </w:r>
      <w:bookmarkEnd w:id="4"/>
    </w:p>
    <w:p w14:paraId="7A0E1DD2" w14:textId="77777777" w:rsidR="000162DE" w:rsidRDefault="000162DE" w:rsidP="000162DE">
      <w:r>
        <w:t>According to the “Soil Survey of Barnstable County, Massachusetts” (Fletcher, 1993) soils underlying the Site are classified as Carver Loamy Coarse Sand (</w:t>
      </w:r>
      <w:r w:rsidRPr="00147215">
        <w:rPr>
          <w:rFonts w:cs="Arial"/>
          <w:szCs w:val="22"/>
        </w:rPr>
        <w:t>Figure 2</w:t>
      </w:r>
      <w:r>
        <w:rPr>
          <w:rFonts w:cs="Arial"/>
          <w:szCs w:val="22"/>
        </w:rPr>
        <w:t xml:space="preserve">). </w:t>
      </w:r>
      <w:r>
        <w:t>This soil group is classified as hydrologic soil group A and described as “very deep, gently sloping, excessively drained soil generally is in broad areas on outwash plains but is also in areas of sandy glacial lake deposits.”</w:t>
      </w:r>
    </w:p>
    <w:p w14:paraId="213A0E5D" w14:textId="4D67F74A" w:rsidR="000162DE" w:rsidRPr="000162DE" w:rsidRDefault="000162DE" w:rsidP="000E3D40">
      <w:r>
        <w:lastRenderedPageBreak/>
        <w:t xml:space="preserve">Nine site soil evaluation test pits were performed in October 2019 to complete a Phase 2 environmental assessment and assess the subsurface conditions to determine its suitability for the construction of wastewater and stormwater management practices.  </w:t>
      </w:r>
    </w:p>
    <w:p w14:paraId="5F66EE38" w14:textId="66F48D6E" w:rsidR="007A55F2" w:rsidRPr="007653FC" w:rsidRDefault="00923D73" w:rsidP="0034337E">
      <w:pPr>
        <w:pStyle w:val="Heading2"/>
      </w:pPr>
      <w:bookmarkStart w:id="5" w:name="_Toc71740819"/>
      <w:r>
        <w:t>FEMA Designation</w:t>
      </w:r>
      <w:bookmarkEnd w:id="5"/>
    </w:p>
    <w:p w14:paraId="0ACDB922" w14:textId="58FF18EE" w:rsidR="00246294" w:rsidRPr="00190F30" w:rsidRDefault="00150BB6" w:rsidP="0034337E">
      <w:r w:rsidRPr="00150BB6">
        <w:rPr>
          <w:rFonts w:cs="Arial"/>
          <w:szCs w:val="22"/>
        </w:rPr>
        <w:t>According to the FEMA Flood Insurance Rate Maps (Community Panel Number 250001C0318J, effective July 16, 2014), the site is located within Flood Zone X, “Areas determined to be outside the 0.2% annual chance floodplain”</w:t>
      </w:r>
      <w:r>
        <w:rPr>
          <w:rFonts w:cs="Arial"/>
          <w:szCs w:val="22"/>
        </w:rPr>
        <w:t xml:space="preserve"> </w:t>
      </w:r>
      <w:r w:rsidR="000162DE">
        <w:rPr>
          <w:rFonts w:cs="Arial"/>
          <w:szCs w:val="22"/>
        </w:rPr>
        <w:t>(</w:t>
      </w:r>
      <w:r w:rsidR="00272277">
        <w:rPr>
          <w:rFonts w:cs="Arial"/>
          <w:szCs w:val="22"/>
        </w:rPr>
        <w:t>Figure 3</w:t>
      </w:r>
      <w:r w:rsidR="000162DE">
        <w:rPr>
          <w:rFonts w:cs="Arial"/>
          <w:szCs w:val="22"/>
        </w:rPr>
        <w:t>)</w:t>
      </w:r>
      <w:r w:rsidR="00272277">
        <w:rPr>
          <w:rFonts w:cs="Arial"/>
          <w:szCs w:val="22"/>
        </w:rPr>
        <w:t>.</w:t>
      </w:r>
    </w:p>
    <w:p w14:paraId="1143F837" w14:textId="77777777" w:rsidR="00B93A6A" w:rsidRDefault="00B93A6A" w:rsidP="0034337E">
      <w:pPr>
        <w:pStyle w:val="Heading2"/>
      </w:pPr>
      <w:bookmarkStart w:id="6" w:name="_Toc71740820"/>
      <w:r>
        <w:t>State-listed Rare Species Habitat</w:t>
      </w:r>
      <w:bookmarkEnd w:id="6"/>
    </w:p>
    <w:p w14:paraId="7796058F" w14:textId="39B99F6F" w:rsidR="006716A9" w:rsidRDefault="009A0088" w:rsidP="0034337E">
      <w:r w:rsidRPr="006716A9">
        <w:t xml:space="preserve">According to the most recent version of the </w:t>
      </w:r>
      <w:r w:rsidRPr="006716A9">
        <w:rPr>
          <w:i/>
          <w:iCs/>
        </w:rPr>
        <w:t>Massachusetts Natural Heritage Atlas</w:t>
      </w:r>
      <w:r w:rsidRPr="006716A9">
        <w:t xml:space="preserve"> (1</w:t>
      </w:r>
      <w:r w:rsidR="000519E6">
        <w:t>4</w:t>
      </w:r>
      <w:r w:rsidRPr="006716A9">
        <w:rPr>
          <w:vertAlign w:val="superscript"/>
        </w:rPr>
        <w:t>th</w:t>
      </w:r>
      <w:r w:rsidRPr="006716A9">
        <w:t xml:space="preserve"> Edition, </w:t>
      </w:r>
      <w:r w:rsidR="000519E6">
        <w:t xml:space="preserve">August </w:t>
      </w:r>
      <w:r w:rsidRPr="006716A9">
        <w:t>1, 20</w:t>
      </w:r>
      <w:r w:rsidR="000519E6">
        <w:t>17</w:t>
      </w:r>
      <w:r w:rsidRPr="006716A9">
        <w:t xml:space="preserve">), </w:t>
      </w:r>
      <w:r w:rsidR="00735813">
        <w:t xml:space="preserve">the </w:t>
      </w:r>
      <w:r w:rsidR="0079719B">
        <w:t>Property</w:t>
      </w:r>
      <w:r w:rsidRPr="006716A9">
        <w:t xml:space="preserve"> </w:t>
      </w:r>
      <w:r w:rsidR="00F01018">
        <w:t>is not located</w:t>
      </w:r>
      <w:r w:rsidRPr="006716A9">
        <w:t xml:space="preserve"> within areas of </w:t>
      </w:r>
      <w:r w:rsidRPr="006716A9">
        <w:rPr>
          <w:i/>
          <w:iCs/>
        </w:rPr>
        <w:t>Estimated Habitat of Rare Wildlife and Certified Vernal Pools</w:t>
      </w:r>
      <w:r w:rsidRPr="006716A9">
        <w:t xml:space="preserve"> and/or </w:t>
      </w:r>
      <w:r w:rsidRPr="006716A9">
        <w:rPr>
          <w:i/>
          <w:iCs/>
        </w:rPr>
        <w:t>Priority Habitat of Rare Species</w:t>
      </w:r>
      <w:r w:rsidRPr="006716A9">
        <w:t xml:space="preserve"> </w:t>
      </w:r>
      <w:r w:rsidR="001F73C6">
        <w:t>as designated by the Massachusetts Natural Heritage and Endangered Species Program (NHESP</w:t>
      </w:r>
      <w:r w:rsidR="00246974">
        <w:t xml:space="preserve">, </w:t>
      </w:r>
      <w:r w:rsidRPr="006716A9">
        <w:t xml:space="preserve">Figure </w:t>
      </w:r>
      <w:r w:rsidR="001F73C6">
        <w:t>4</w:t>
      </w:r>
      <w:r w:rsidRPr="006716A9">
        <w:t>).</w:t>
      </w:r>
    </w:p>
    <w:p w14:paraId="516025E6" w14:textId="594400C6" w:rsidR="00DA2BA5" w:rsidRDefault="00DA2BA5" w:rsidP="0034337E">
      <w:pPr>
        <w:pStyle w:val="Heading2"/>
      </w:pPr>
      <w:bookmarkStart w:id="7" w:name="_Toc71740821"/>
      <w:r>
        <w:t>Wetland Resource Areas</w:t>
      </w:r>
      <w:bookmarkEnd w:id="7"/>
    </w:p>
    <w:p w14:paraId="20DE9009" w14:textId="304F358C" w:rsidR="00272277" w:rsidRPr="00E63957" w:rsidRDefault="00150BB6" w:rsidP="0034337E">
      <w:pPr>
        <w:spacing w:after="360"/>
        <w:rPr>
          <w:color w:val="365F91" w:themeColor="accent1" w:themeShade="BF"/>
        </w:rPr>
      </w:pPr>
      <w:r>
        <w:t>In May 2019</w:t>
      </w:r>
      <w:r w:rsidR="00272277">
        <w:t>, H</w:t>
      </w:r>
      <w:r w:rsidR="00942D66">
        <w:t>orsley Witten, the Project’s engineer,</w:t>
      </w:r>
      <w:r w:rsidR="00272277">
        <w:t xml:space="preserve"> identified and delineated the boundary of wetland resource area in the </w:t>
      </w:r>
      <w:r>
        <w:t>western</w:t>
      </w:r>
      <w:r w:rsidR="00272277">
        <w:t xml:space="preserve"> </w:t>
      </w:r>
      <w:r w:rsidR="0079719B">
        <w:t xml:space="preserve">portion </w:t>
      </w:r>
      <w:r w:rsidR="00272277">
        <w:t xml:space="preserve">of the </w:t>
      </w:r>
      <w:r w:rsidR="003D0DBC">
        <w:t>P</w:t>
      </w:r>
      <w:r w:rsidR="00272277">
        <w:t xml:space="preserve">roperty, in accordance with methods developed by MassDEP, </w:t>
      </w:r>
      <w:r w:rsidR="00F2472C">
        <w:t xml:space="preserve">as set forth in </w:t>
      </w:r>
      <w:r w:rsidR="00272277" w:rsidRPr="009F59A4">
        <w:t>the Massachusetts Wetlands Protection Act regulations.</w:t>
      </w:r>
    </w:p>
    <w:p w14:paraId="0D7AB552" w14:textId="6212DC31" w:rsidR="00DA2BA5" w:rsidRPr="00E63957" w:rsidRDefault="00F01018" w:rsidP="0034337E">
      <w:pPr>
        <w:pStyle w:val="Heading1"/>
        <w:rPr>
          <w:caps w:val="0"/>
          <w:color w:val="365F91" w:themeColor="accent1" w:themeShade="BF"/>
        </w:rPr>
      </w:pPr>
      <w:bookmarkStart w:id="8" w:name="_Toc71740822"/>
      <w:r w:rsidRPr="00E63957">
        <w:rPr>
          <w:caps w:val="0"/>
          <w:color w:val="365F91" w:themeColor="accent1" w:themeShade="BF"/>
        </w:rPr>
        <w:t>PROPOSED PROJECT</w:t>
      </w:r>
      <w:r w:rsidR="00993EFB" w:rsidRPr="00E63957">
        <w:rPr>
          <w:caps w:val="0"/>
          <w:color w:val="365F91" w:themeColor="accent1" w:themeShade="BF"/>
        </w:rPr>
        <w:t xml:space="preserve"> NARRATIVE</w:t>
      </w:r>
      <w:bookmarkEnd w:id="8"/>
    </w:p>
    <w:p w14:paraId="6663A2C5" w14:textId="124023D7" w:rsidR="00BA67E4" w:rsidRDefault="00BA67E4" w:rsidP="0034337E">
      <w:pPr>
        <w:spacing w:after="0"/>
        <w:rPr>
          <w:rFonts w:cs="Arial"/>
          <w:szCs w:val="22"/>
        </w:rPr>
      </w:pPr>
      <w:r>
        <w:rPr>
          <w:rFonts w:cs="Arial"/>
          <w:szCs w:val="22"/>
        </w:rPr>
        <w:t xml:space="preserve">The Development </w:t>
      </w:r>
      <w:r w:rsidR="000162DE">
        <w:rPr>
          <w:rFonts w:cs="Arial"/>
          <w:szCs w:val="22"/>
        </w:rPr>
        <w:t xml:space="preserve">includes </w:t>
      </w:r>
      <w:r>
        <w:rPr>
          <w:rFonts w:cs="Arial"/>
          <w:szCs w:val="22"/>
        </w:rPr>
        <w:t xml:space="preserve">the new construction </w:t>
      </w:r>
      <w:r w:rsidR="00327187">
        <w:rPr>
          <w:rFonts w:cs="Arial"/>
          <w:szCs w:val="22"/>
        </w:rPr>
        <w:t>of one</w:t>
      </w:r>
      <w:r>
        <w:rPr>
          <w:rFonts w:cs="Arial"/>
          <w:szCs w:val="22"/>
        </w:rPr>
        <w:t xml:space="preserve"> </w:t>
      </w:r>
      <w:r w:rsidR="00327187">
        <w:rPr>
          <w:rFonts w:cs="Arial"/>
          <w:szCs w:val="22"/>
        </w:rPr>
        <w:t xml:space="preserve">building, 85 </w:t>
      </w:r>
      <w:r>
        <w:rPr>
          <w:rFonts w:cs="Arial"/>
          <w:szCs w:val="22"/>
        </w:rPr>
        <w:t>parking spaces,</w:t>
      </w:r>
      <w:r w:rsidR="00327187">
        <w:rPr>
          <w:rFonts w:cs="Arial"/>
          <w:szCs w:val="22"/>
        </w:rPr>
        <w:t xml:space="preserve"> </w:t>
      </w:r>
      <w:r w:rsidR="00A1014B">
        <w:rPr>
          <w:rFonts w:cs="Arial"/>
          <w:szCs w:val="22"/>
        </w:rPr>
        <w:t>associated</w:t>
      </w:r>
      <w:r w:rsidR="00914A11">
        <w:rPr>
          <w:rFonts w:cs="Arial"/>
          <w:szCs w:val="22"/>
        </w:rPr>
        <w:t xml:space="preserve"> sidewalk, </w:t>
      </w:r>
      <w:r w:rsidR="00327187">
        <w:rPr>
          <w:rFonts w:cs="Arial"/>
          <w:szCs w:val="22"/>
        </w:rPr>
        <w:t>and</w:t>
      </w:r>
      <w:r>
        <w:rPr>
          <w:rFonts w:cs="Arial"/>
          <w:szCs w:val="22"/>
        </w:rPr>
        <w:t xml:space="preserve"> landscaped open spaces for residents of the Development. The proposed site design is compatible with the neighborhood, located near residential </w:t>
      </w:r>
      <w:r w:rsidR="00327187">
        <w:rPr>
          <w:rFonts w:cs="Arial"/>
          <w:szCs w:val="22"/>
        </w:rPr>
        <w:t>uses</w:t>
      </w:r>
      <w:r>
        <w:rPr>
          <w:rFonts w:cs="Arial"/>
          <w:szCs w:val="22"/>
        </w:rPr>
        <w:t>, incorporates public transportation access, and provides new, affordable, and mixed-income housing</w:t>
      </w:r>
      <w:r w:rsidR="000162DE">
        <w:rPr>
          <w:rFonts w:cs="Arial"/>
          <w:szCs w:val="22"/>
        </w:rPr>
        <w:t>.</w:t>
      </w:r>
    </w:p>
    <w:p w14:paraId="39592506" w14:textId="77777777" w:rsidR="009B2692" w:rsidRDefault="009B2692" w:rsidP="0034337E">
      <w:pPr>
        <w:spacing w:after="0"/>
        <w:rPr>
          <w:rFonts w:cs="Arial"/>
        </w:rPr>
      </w:pPr>
    </w:p>
    <w:p w14:paraId="1ADA09F3" w14:textId="1A08116F" w:rsidR="00E35A13" w:rsidRPr="001B4A76" w:rsidRDefault="009B2692" w:rsidP="0034337E">
      <w:pPr>
        <w:spacing w:after="120"/>
        <w:rPr>
          <w:rFonts w:cs="Arial"/>
        </w:rPr>
      </w:pPr>
      <w:r>
        <w:rPr>
          <w:rFonts w:cs="Arial"/>
        </w:rPr>
        <w:t>Specifically, t</w:t>
      </w:r>
      <w:r w:rsidRPr="001B4A76">
        <w:rPr>
          <w:rFonts w:cs="Arial"/>
        </w:rPr>
        <w:t xml:space="preserve">he </w:t>
      </w:r>
      <w:r w:rsidR="00E35A13" w:rsidRPr="001B4A76">
        <w:rPr>
          <w:rFonts w:cs="Arial"/>
        </w:rPr>
        <w:t>Applicant proposes to construct the following</w:t>
      </w:r>
      <w:r>
        <w:rPr>
          <w:rFonts w:cs="Arial"/>
        </w:rPr>
        <w:t xml:space="preserve"> as a part of the Development</w:t>
      </w:r>
      <w:r w:rsidR="00E35A13" w:rsidRPr="001B4A76">
        <w:rPr>
          <w:rFonts w:cs="Arial"/>
        </w:rPr>
        <w:t>:</w:t>
      </w:r>
    </w:p>
    <w:p w14:paraId="39BC72CA" w14:textId="7E7098C9" w:rsidR="00E35A13" w:rsidRPr="001B4A76" w:rsidRDefault="00327187" w:rsidP="0034337E">
      <w:pPr>
        <w:numPr>
          <w:ilvl w:val="0"/>
          <w:numId w:val="34"/>
        </w:numPr>
        <w:spacing w:after="60"/>
        <w:rPr>
          <w:rFonts w:cs="Arial"/>
        </w:rPr>
      </w:pPr>
      <w:r>
        <w:rPr>
          <w:rFonts w:cs="Arial"/>
        </w:rPr>
        <w:t>51 dwelling units located in one building</w:t>
      </w:r>
    </w:p>
    <w:p w14:paraId="36F01BF9" w14:textId="70768FCE" w:rsidR="001E5D34" w:rsidRPr="001B4A76" w:rsidRDefault="00E35A13" w:rsidP="00327187">
      <w:pPr>
        <w:numPr>
          <w:ilvl w:val="0"/>
          <w:numId w:val="34"/>
        </w:numPr>
        <w:spacing w:after="0"/>
        <w:rPr>
          <w:rFonts w:cs="Arial"/>
        </w:rPr>
      </w:pPr>
      <w:bookmarkStart w:id="9" w:name="_Hlk39485887"/>
      <w:bookmarkStart w:id="10" w:name="_Hlk39485858"/>
      <w:r w:rsidRPr="001B4A76">
        <w:rPr>
          <w:rFonts w:cs="Arial"/>
        </w:rPr>
        <w:t xml:space="preserve">Approximately </w:t>
      </w:r>
      <w:r w:rsidR="00327187">
        <w:rPr>
          <w:rFonts w:cs="Arial"/>
        </w:rPr>
        <w:t>800</w:t>
      </w:r>
      <w:r w:rsidRPr="001B4A76">
        <w:rPr>
          <w:rFonts w:cs="Arial"/>
        </w:rPr>
        <w:t xml:space="preserve"> linear feet of </w:t>
      </w:r>
      <w:r w:rsidR="00327187">
        <w:rPr>
          <w:rFonts w:cs="Arial"/>
        </w:rPr>
        <w:t>paved access road</w:t>
      </w:r>
    </w:p>
    <w:p w14:paraId="61821802" w14:textId="206CC8B1" w:rsidR="00E35A13" w:rsidRDefault="00327187" w:rsidP="0034337E">
      <w:pPr>
        <w:numPr>
          <w:ilvl w:val="0"/>
          <w:numId w:val="34"/>
        </w:numPr>
        <w:spacing w:after="0"/>
        <w:rPr>
          <w:rFonts w:cs="Arial"/>
        </w:rPr>
      </w:pPr>
      <w:r>
        <w:rPr>
          <w:rFonts w:cs="Arial"/>
        </w:rPr>
        <w:t>Two p</w:t>
      </w:r>
      <w:r w:rsidR="00E35A13" w:rsidRPr="001B4A76">
        <w:rPr>
          <w:rFonts w:cs="Arial"/>
        </w:rPr>
        <w:t>aved parking</w:t>
      </w:r>
      <w:r w:rsidR="00E35A13">
        <w:rPr>
          <w:rFonts w:cs="Arial"/>
        </w:rPr>
        <w:t xml:space="preserve"> lots</w:t>
      </w:r>
      <w:r w:rsidR="00E35A13" w:rsidRPr="001B4A76">
        <w:rPr>
          <w:rFonts w:cs="Arial"/>
        </w:rPr>
        <w:t xml:space="preserve"> </w:t>
      </w:r>
      <w:r w:rsidR="00E35A13">
        <w:rPr>
          <w:rFonts w:cs="Arial"/>
        </w:rPr>
        <w:t>(</w:t>
      </w:r>
      <w:r>
        <w:rPr>
          <w:rFonts w:cs="Arial"/>
        </w:rPr>
        <w:t>69</w:t>
      </w:r>
      <w:r w:rsidR="00363745">
        <w:rPr>
          <w:rFonts w:cs="Arial"/>
        </w:rPr>
        <w:t xml:space="preserve"> </w:t>
      </w:r>
      <w:r w:rsidR="00E35A13">
        <w:rPr>
          <w:rFonts w:cs="Arial"/>
        </w:rPr>
        <w:t>spaces)</w:t>
      </w:r>
      <w:r>
        <w:rPr>
          <w:rFonts w:cs="Arial"/>
        </w:rPr>
        <w:t xml:space="preserve"> </w:t>
      </w:r>
    </w:p>
    <w:p w14:paraId="085BEA3F" w14:textId="54CDD242" w:rsidR="00914A11" w:rsidRDefault="00914A11" w:rsidP="00914A11">
      <w:pPr>
        <w:numPr>
          <w:ilvl w:val="1"/>
          <w:numId w:val="34"/>
        </w:numPr>
        <w:spacing w:after="0"/>
        <w:rPr>
          <w:rFonts w:cs="Arial"/>
        </w:rPr>
      </w:pPr>
      <w:r>
        <w:rPr>
          <w:rFonts w:cs="Arial"/>
        </w:rPr>
        <w:t xml:space="preserve">Standard - </w:t>
      </w:r>
      <w:r w:rsidRPr="00914A11">
        <w:rPr>
          <w:rFonts w:cs="Arial"/>
        </w:rPr>
        <w:t>15’-6” X 8’-8”</w:t>
      </w:r>
    </w:p>
    <w:p w14:paraId="770811D1" w14:textId="09E9F4DF" w:rsidR="00914A11" w:rsidRDefault="00914A11" w:rsidP="000E3D40">
      <w:pPr>
        <w:numPr>
          <w:ilvl w:val="1"/>
          <w:numId w:val="34"/>
        </w:numPr>
        <w:spacing w:after="0"/>
        <w:rPr>
          <w:rFonts w:cs="Arial"/>
        </w:rPr>
      </w:pPr>
      <w:r>
        <w:rPr>
          <w:rFonts w:cs="Arial"/>
        </w:rPr>
        <w:t xml:space="preserve">Compact: </w:t>
      </w:r>
      <w:r>
        <w:rPr>
          <w:rFonts w:eastAsia="Times New Roman" w:cs="Arial"/>
          <w:sz w:val="20"/>
          <w:szCs w:val="20"/>
        </w:rPr>
        <w:t>15’-6” X 8’-0”</w:t>
      </w:r>
    </w:p>
    <w:p w14:paraId="27B0D427" w14:textId="0E10BD1B" w:rsidR="00327187" w:rsidRDefault="00327187" w:rsidP="0034337E">
      <w:pPr>
        <w:numPr>
          <w:ilvl w:val="0"/>
          <w:numId w:val="34"/>
        </w:numPr>
        <w:spacing w:after="0"/>
        <w:rPr>
          <w:rFonts w:cs="Arial"/>
        </w:rPr>
      </w:pPr>
      <w:r>
        <w:rPr>
          <w:rFonts w:cs="Arial"/>
        </w:rPr>
        <w:t>ADA accessible parking (4 spaces) and compact car parking (12 spaces)</w:t>
      </w:r>
    </w:p>
    <w:bookmarkEnd w:id="9"/>
    <w:bookmarkEnd w:id="10"/>
    <w:p w14:paraId="56DFFCC3" w14:textId="77777777" w:rsidR="00E35A13" w:rsidRPr="001B4A76" w:rsidRDefault="00E35A13" w:rsidP="0034337E">
      <w:pPr>
        <w:numPr>
          <w:ilvl w:val="0"/>
          <w:numId w:val="34"/>
        </w:numPr>
        <w:spacing w:after="60"/>
        <w:rPr>
          <w:rFonts w:cs="Arial"/>
        </w:rPr>
      </w:pPr>
      <w:r w:rsidRPr="001B4A76">
        <w:rPr>
          <w:rFonts w:cs="Arial"/>
        </w:rPr>
        <w:t>ADA accessible sidewalks</w:t>
      </w:r>
    </w:p>
    <w:p w14:paraId="69F09E3A" w14:textId="31F10194" w:rsidR="00E35A13" w:rsidRDefault="00E35A13" w:rsidP="0034337E">
      <w:pPr>
        <w:numPr>
          <w:ilvl w:val="0"/>
          <w:numId w:val="34"/>
        </w:numPr>
        <w:spacing w:after="240"/>
        <w:rPr>
          <w:rFonts w:cs="Arial"/>
        </w:rPr>
      </w:pPr>
      <w:r w:rsidRPr="001B4A76">
        <w:rPr>
          <w:rFonts w:cs="Arial"/>
        </w:rPr>
        <w:t>Interior landscaped</w:t>
      </w:r>
      <w:r w:rsidR="00FB7C85">
        <w:rPr>
          <w:rFonts w:cs="Arial"/>
        </w:rPr>
        <w:t xml:space="preserve"> </w:t>
      </w:r>
      <w:r w:rsidRPr="001B4A76">
        <w:rPr>
          <w:rFonts w:cs="Arial"/>
        </w:rPr>
        <w:t>areas</w:t>
      </w:r>
      <w:r w:rsidR="00FB7C85">
        <w:rPr>
          <w:rFonts w:cs="Arial"/>
        </w:rPr>
        <w:t xml:space="preserve">, </w:t>
      </w:r>
      <w:r w:rsidR="00914A11">
        <w:rPr>
          <w:rFonts w:cs="Arial"/>
        </w:rPr>
        <w:t xml:space="preserve">buffers, </w:t>
      </w:r>
      <w:r w:rsidRPr="001B4A76">
        <w:rPr>
          <w:rFonts w:cs="Arial"/>
        </w:rPr>
        <w:t>open</w:t>
      </w:r>
      <w:r>
        <w:rPr>
          <w:rFonts w:cs="Arial"/>
        </w:rPr>
        <w:t xml:space="preserve"> </w:t>
      </w:r>
      <w:r w:rsidR="00E71199">
        <w:rPr>
          <w:rFonts w:cs="Arial"/>
        </w:rPr>
        <w:t>spaces,</w:t>
      </w:r>
      <w:r w:rsidR="00FB7C85">
        <w:rPr>
          <w:rFonts w:cs="Arial"/>
        </w:rPr>
        <w:t xml:space="preserve"> and lighting</w:t>
      </w:r>
      <w:r w:rsidRPr="001B4A76">
        <w:rPr>
          <w:rFonts w:cs="Arial"/>
        </w:rPr>
        <w:t xml:space="preserve">.  </w:t>
      </w:r>
    </w:p>
    <w:p w14:paraId="30A35570" w14:textId="398D6B5E" w:rsidR="00E15666" w:rsidRDefault="007A75D2" w:rsidP="0034337E">
      <w:pPr>
        <w:pStyle w:val="Heading2"/>
      </w:pPr>
      <w:bookmarkStart w:id="11" w:name="_Toc71740823"/>
      <w:r>
        <w:t>Use of Bui</w:t>
      </w:r>
      <w:r w:rsidR="000871AB">
        <w:t>l</w:t>
      </w:r>
      <w:r>
        <w:t>ding</w:t>
      </w:r>
      <w:r w:rsidR="00CF3969">
        <w:t xml:space="preserve"> and Architecture</w:t>
      </w:r>
      <w:bookmarkEnd w:id="11"/>
    </w:p>
    <w:p w14:paraId="741D154F" w14:textId="6AB4E72D" w:rsidR="00FD02F1" w:rsidRDefault="00421164" w:rsidP="00FD02F1">
      <w:r>
        <w:t xml:space="preserve">As noted above, the Development includes </w:t>
      </w:r>
      <w:r w:rsidR="00327187">
        <w:t>51</w:t>
      </w:r>
      <w:r>
        <w:t xml:space="preserve">-units of mixed-income housing that will be provided in a three-story building with a central common corridor and elevator access to the </w:t>
      </w:r>
      <w:r>
        <w:lastRenderedPageBreak/>
        <w:t xml:space="preserve">upper floors. In addition to its </w:t>
      </w:r>
      <w:r w:rsidR="00327187">
        <w:t>51</w:t>
      </w:r>
      <w:r>
        <w:t xml:space="preserve"> units, a small lobby</w:t>
      </w:r>
      <w:r w:rsidR="00327187">
        <w:t>,</w:t>
      </w:r>
      <w:r>
        <w:t xml:space="preserve"> amenity room</w:t>
      </w:r>
      <w:r w:rsidR="00327187">
        <w:t>s, and sto</w:t>
      </w:r>
      <w:r w:rsidR="00625FF6">
        <w:t>r</w:t>
      </w:r>
      <w:r w:rsidR="00327187">
        <w:t>age</w:t>
      </w:r>
      <w:r>
        <w:t xml:space="preserve"> </w:t>
      </w:r>
      <w:r w:rsidR="00327187">
        <w:t>units are</w:t>
      </w:r>
      <w:r>
        <w:t xml:space="preserve"> included. </w:t>
      </w:r>
      <w:r w:rsidR="00327187">
        <w:t xml:space="preserve">An entrance in the rear of the building allows access to a patio and </w:t>
      </w:r>
      <w:r w:rsidR="008F047E">
        <w:t>play space</w:t>
      </w:r>
      <w:r w:rsidR="00327187">
        <w:t xml:space="preserve"> area.</w:t>
      </w:r>
      <w:r>
        <w:t xml:space="preserve"> </w:t>
      </w:r>
      <w:r w:rsidR="00FD02F1" w:rsidRPr="00E605E7">
        <w:t xml:space="preserve">The Cape Cod vernacular is embraced in the style and material selections for the building, which includes shingle and lap siding, projecting bays, and gabled roofs elements. Stair towers with transom windows and the hexagonal main entry tower are reminiscent of Cape Cod lighthouse architecture. A curved covered canopy with a trellis and colonnade provides a welcoming entrance, as well as a gathering place for </w:t>
      </w:r>
      <w:r w:rsidR="00FD02F1">
        <w:t>r</w:t>
      </w:r>
      <w:r w:rsidR="00FD02F1" w:rsidRPr="00E605E7">
        <w:t>esidents.</w:t>
      </w:r>
    </w:p>
    <w:p w14:paraId="1D25B32F" w14:textId="40C57F32" w:rsidR="00FD02F1" w:rsidRPr="00FD02F1" w:rsidRDefault="00FD02F1" w:rsidP="00FD02F1">
      <w:r w:rsidRPr="00FD02F1">
        <w:t>The individual units have an efficient and simple plan, resulting in 1, 2 and 3 bedroom units of 61</w:t>
      </w:r>
      <w:r>
        <w:t>7</w:t>
      </w:r>
      <w:r w:rsidRPr="00FD02F1">
        <w:t xml:space="preserve"> to 11</w:t>
      </w:r>
      <w:r>
        <w:t>33</w:t>
      </w:r>
      <w:r w:rsidRPr="00FD02F1">
        <w:t xml:space="preserve"> SF. Three units of the proposed 51 units will be designed to be</w:t>
      </w:r>
      <w:r w:rsidRPr="00FD02F1">
        <w:br/>
        <w:t>handicapped accessible. Many others are designed to meet the needs of families with</w:t>
      </w:r>
      <w:r w:rsidRPr="00FD02F1">
        <w:br/>
        <w:t>children and help residents age in place by providing one floor living and generous</w:t>
      </w:r>
      <w:r w:rsidRPr="00FD02F1">
        <w:br/>
        <w:t>clearances for future mobility challenges. Careful attention is given to important “transitional” spaces such as entry vestibules and hallways. Bays will be carefully used to give additional room exactly where needed and to help subtly define areas of the floor plan. Each room will have at least 2 windows ensuring generous lighting and ventilation. Issues such as sight lines, acoustic privacy, efficient circulation, and adequate storage have all been considered. The units will all be designed to be affordable, both in their first cost and in their lifecycle costs. Low maintenance materials will be specified throughout. On the exterior natural white cedar shingles or architectural fiber cement siding/shingles, painted cellular PVC trim and no-maintenance vinyl insulated windows will be utilized.</w:t>
      </w:r>
    </w:p>
    <w:p w14:paraId="17740D27" w14:textId="0805B32C" w:rsidR="009B2692" w:rsidRDefault="009B2692" w:rsidP="00FD02F1">
      <w:r w:rsidRPr="00FD02F1">
        <w:t xml:space="preserve">The unit count, unit mix and square footage of each </w:t>
      </w:r>
      <w:r w:rsidR="009F545D" w:rsidRPr="00FD02F1">
        <w:t xml:space="preserve">unit is provided </w:t>
      </w:r>
      <w:r w:rsidR="00FD02F1">
        <w:t xml:space="preserve">in the table </w:t>
      </w:r>
      <w:r w:rsidR="009F545D" w:rsidRPr="00FD02F1">
        <w:t>below.</w:t>
      </w:r>
    </w:p>
    <w:p w14:paraId="5EC914AE" w14:textId="4F80FA21" w:rsidR="00FD02F1" w:rsidRPr="00FD02F1" w:rsidRDefault="00FD02F1" w:rsidP="00FD02F1">
      <w:pPr>
        <w:spacing w:after="120"/>
        <w:rPr>
          <w:b/>
          <w:bCs/>
          <w:color w:val="365F91"/>
          <w:szCs w:val="22"/>
        </w:rPr>
      </w:pPr>
      <w:r w:rsidRPr="00FD02F1">
        <w:rPr>
          <w:b/>
          <w:bCs/>
          <w:color w:val="365F91"/>
          <w:szCs w:val="22"/>
        </w:rPr>
        <w:t xml:space="preserve">Table </w:t>
      </w:r>
      <w:r w:rsidR="000E3D40">
        <w:rPr>
          <w:b/>
          <w:bCs/>
          <w:color w:val="365F91"/>
          <w:szCs w:val="22"/>
        </w:rPr>
        <w:t>1</w:t>
      </w:r>
      <w:r w:rsidRPr="00FD02F1">
        <w:rPr>
          <w:b/>
          <w:bCs/>
          <w:color w:val="365F91"/>
          <w:szCs w:val="22"/>
        </w:rPr>
        <w:t>: Building Information</w:t>
      </w:r>
    </w:p>
    <w:tbl>
      <w:tblPr>
        <w:tblStyle w:val="TableGrid"/>
        <w:tblW w:w="8365" w:type="dxa"/>
        <w:jc w:val="center"/>
        <w:tblLayout w:type="fixed"/>
        <w:tblLook w:val="04A0" w:firstRow="1" w:lastRow="0" w:firstColumn="1" w:lastColumn="0" w:noHBand="0" w:noVBand="1"/>
      </w:tblPr>
      <w:tblGrid>
        <w:gridCol w:w="1975"/>
        <w:gridCol w:w="2070"/>
        <w:gridCol w:w="2160"/>
        <w:gridCol w:w="2160"/>
      </w:tblGrid>
      <w:tr w:rsidR="00FD02F1" w:rsidRPr="00FD02F1" w14:paraId="24B35D11" w14:textId="77777777" w:rsidTr="00FD02F1">
        <w:trPr>
          <w:trHeight w:val="233"/>
          <w:jc w:val="center"/>
        </w:trPr>
        <w:tc>
          <w:tcPr>
            <w:tcW w:w="1975" w:type="dxa"/>
            <w:shd w:val="clear" w:color="auto" w:fill="C6D9F1" w:themeFill="text2" w:themeFillTint="33"/>
          </w:tcPr>
          <w:p w14:paraId="4CC13503" w14:textId="77777777" w:rsidR="00FD02F1" w:rsidRPr="00FD02F1" w:rsidRDefault="00FD02F1" w:rsidP="00FD02F1"/>
        </w:tc>
        <w:tc>
          <w:tcPr>
            <w:tcW w:w="2070" w:type="dxa"/>
            <w:shd w:val="clear" w:color="auto" w:fill="C6D9F1" w:themeFill="text2" w:themeFillTint="33"/>
          </w:tcPr>
          <w:p w14:paraId="2B1BA409" w14:textId="77777777" w:rsidR="00FD02F1" w:rsidRPr="00FD02F1" w:rsidRDefault="00FD02F1" w:rsidP="00FD02F1">
            <w:pPr>
              <w:jc w:val="center"/>
              <w:rPr>
                <w:b/>
              </w:rPr>
            </w:pPr>
            <w:r w:rsidRPr="00FD02F1">
              <w:rPr>
                <w:b/>
              </w:rPr>
              <w:t>Level 1</w:t>
            </w:r>
          </w:p>
        </w:tc>
        <w:tc>
          <w:tcPr>
            <w:tcW w:w="2160" w:type="dxa"/>
            <w:shd w:val="clear" w:color="auto" w:fill="C6D9F1" w:themeFill="text2" w:themeFillTint="33"/>
          </w:tcPr>
          <w:p w14:paraId="5E70AEFB" w14:textId="77777777" w:rsidR="00FD02F1" w:rsidRPr="00FD02F1" w:rsidRDefault="00FD02F1" w:rsidP="00FD02F1">
            <w:pPr>
              <w:jc w:val="center"/>
              <w:rPr>
                <w:b/>
              </w:rPr>
            </w:pPr>
            <w:r w:rsidRPr="00FD02F1">
              <w:rPr>
                <w:b/>
              </w:rPr>
              <w:t>Level 2</w:t>
            </w:r>
          </w:p>
        </w:tc>
        <w:tc>
          <w:tcPr>
            <w:tcW w:w="2160" w:type="dxa"/>
            <w:shd w:val="clear" w:color="auto" w:fill="C6D9F1" w:themeFill="text2" w:themeFillTint="33"/>
          </w:tcPr>
          <w:p w14:paraId="23F5B87D" w14:textId="77777777" w:rsidR="00FD02F1" w:rsidRPr="00FD02F1" w:rsidRDefault="00FD02F1" w:rsidP="00FD02F1">
            <w:pPr>
              <w:jc w:val="center"/>
              <w:rPr>
                <w:b/>
              </w:rPr>
            </w:pPr>
            <w:r w:rsidRPr="00FD02F1">
              <w:rPr>
                <w:b/>
              </w:rPr>
              <w:t>Level 3</w:t>
            </w:r>
          </w:p>
        </w:tc>
      </w:tr>
      <w:tr w:rsidR="00FD02F1" w:rsidRPr="00FD02F1" w14:paraId="06EAA58B" w14:textId="77777777" w:rsidTr="00FD02F1">
        <w:trPr>
          <w:jc w:val="center"/>
        </w:trPr>
        <w:tc>
          <w:tcPr>
            <w:tcW w:w="1975" w:type="dxa"/>
            <w:shd w:val="clear" w:color="auto" w:fill="C6D9F1" w:themeFill="text2" w:themeFillTint="33"/>
          </w:tcPr>
          <w:p w14:paraId="10061DDC" w14:textId="77777777" w:rsidR="00FD02F1" w:rsidRPr="00FD02F1" w:rsidRDefault="00FD02F1" w:rsidP="00FD02F1">
            <w:pPr>
              <w:rPr>
                <w:b/>
              </w:rPr>
            </w:pPr>
            <w:r w:rsidRPr="00FD02F1">
              <w:rPr>
                <w:b/>
              </w:rPr>
              <w:t>Total # of units</w:t>
            </w:r>
          </w:p>
        </w:tc>
        <w:tc>
          <w:tcPr>
            <w:tcW w:w="2070" w:type="dxa"/>
            <w:shd w:val="clear" w:color="auto" w:fill="FFFFFF" w:themeFill="background1"/>
          </w:tcPr>
          <w:p w14:paraId="55B43BBD" w14:textId="77777777" w:rsidR="00FD02F1" w:rsidRPr="00FD02F1" w:rsidRDefault="00FD02F1" w:rsidP="00FD02F1">
            <w:pPr>
              <w:jc w:val="center"/>
            </w:pPr>
            <w:r w:rsidRPr="00FD02F1">
              <w:t>13</w:t>
            </w:r>
          </w:p>
        </w:tc>
        <w:tc>
          <w:tcPr>
            <w:tcW w:w="2160" w:type="dxa"/>
            <w:shd w:val="clear" w:color="auto" w:fill="FFFFFF" w:themeFill="background1"/>
          </w:tcPr>
          <w:p w14:paraId="7E64B20D" w14:textId="77777777" w:rsidR="00FD02F1" w:rsidRPr="00FD02F1" w:rsidRDefault="00FD02F1" w:rsidP="00FD02F1">
            <w:pPr>
              <w:jc w:val="center"/>
            </w:pPr>
            <w:r w:rsidRPr="00FD02F1">
              <w:t>19</w:t>
            </w:r>
          </w:p>
        </w:tc>
        <w:tc>
          <w:tcPr>
            <w:tcW w:w="2160" w:type="dxa"/>
            <w:shd w:val="clear" w:color="auto" w:fill="FFFFFF" w:themeFill="background1"/>
          </w:tcPr>
          <w:p w14:paraId="780F883E" w14:textId="77777777" w:rsidR="00FD02F1" w:rsidRPr="00FD02F1" w:rsidRDefault="00FD02F1" w:rsidP="00FD02F1">
            <w:pPr>
              <w:jc w:val="center"/>
            </w:pPr>
            <w:r w:rsidRPr="00FD02F1">
              <w:t>19</w:t>
            </w:r>
          </w:p>
        </w:tc>
      </w:tr>
      <w:tr w:rsidR="00FD02F1" w:rsidRPr="00FD02F1" w14:paraId="55B0DC1B" w14:textId="77777777" w:rsidTr="00FD02F1">
        <w:trPr>
          <w:jc w:val="center"/>
        </w:trPr>
        <w:tc>
          <w:tcPr>
            <w:tcW w:w="1975" w:type="dxa"/>
            <w:shd w:val="clear" w:color="auto" w:fill="C6D9F1" w:themeFill="text2" w:themeFillTint="33"/>
          </w:tcPr>
          <w:p w14:paraId="72DD7213" w14:textId="77777777" w:rsidR="00FD02F1" w:rsidRPr="00FD02F1" w:rsidRDefault="00FD02F1" w:rsidP="00FD02F1">
            <w:pPr>
              <w:rPr>
                <w:b/>
              </w:rPr>
            </w:pPr>
            <w:r w:rsidRPr="00FD02F1">
              <w:rPr>
                <w:b/>
              </w:rPr>
              <w:t>Unit mix</w:t>
            </w:r>
          </w:p>
        </w:tc>
        <w:tc>
          <w:tcPr>
            <w:tcW w:w="2070" w:type="dxa"/>
          </w:tcPr>
          <w:p w14:paraId="346E4607" w14:textId="77777777" w:rsidR="00FD02F1" w:rsidRPr="00FD02F1" w:rsidRDefault="00FD02F1" w:rsidP="00FD02F1">
            <w:pPr>
              <w:jc w:val="center"/>
            </w:pPr>
            <w:r w:rsidRPr="00FD02F1">
              <w:t>1BR - 7</w:t>
            </w:r>
          </w:p>
          <w:p w14:paraId="05814F97" w14:textId="77777777" w:rsidR="00FD02F1" w:rsidRPr="00FD02F1" w:rsidRDefault="00FD02F1" w:rsidP="00FD02F1">
            <w:pPr>
              <w:jc w:val="center"/>
            </w:pPr>
            <w:r w:rsidRPr="00FD02F1">
              <w:t>2BR – 2</w:t>
            </w:r>
          </w:p>
          <w:p w14:paraId="4CD70D8D" w14:textId="77777777" w:rsidR="00FD02F1" w:rsidRPr="00FD02F1" w:rsidRDefault="00FD02F1" w:rsidP="00FD02F1">
            <w:pPr>
              <w:jc w:val="center"/>
            </w:pPr>
            <w:r w:rsidRPr="00FD02F1">
              <w:t>3BR - 4</w:t>
            </w:r>
          </w:p>
        </w:tc>
        <w:tc>
          <w:tcPr>
            <w:tcW w:w="2160" w:type="dxa"/>
          </w:tcPr>
          <w:p w14:paraId="712FAED0" w14:textId="77777777" w:rsidR="00FD02F1" w:rsidRPr="00FD02F1" w:rsidRDefault="00FD02F1" w:rsidP="00FD02F1">
            <w:pPr>
              <w:jc w:val="center"/>
            </w:pPr>
            <w:r w:rsidRPr="00FD02F1">
              <w:t>1BR - 5</w:t>
            </w:r>
            <w:r w:rsidRPr="00FD02F1">
              <w:br/>
              <w:t>2BR - 13</w:t>
            </w:r>
          </w:p>
          <w:p w14:paraId="4D526489" w14:textId="77777777" w:rsidR="00FD02F1" w:rsidRPr="00FD02F1" w:rsidRDefault="00FD02F1" w:rsidP="00FD02F1">
            <w:pPr>
              <w:jc w:val="center"/>
            </w:pPr>
            <w:r w:rsidRPr="00FD02F1">
              <w:t>3BR - 1</w:t>
            </w:r>
          </w:p>
        </w:tc>
        <w:tc>
          <w:tcPr>
            <w:tcW w:w="2160" w:type="dxa"/>
          </w:tcPr>
          <w:p w14:paraId="6CE7C916" w14:textId="77777777" w:rsidR="00FD02F1" w:rsidRPr="00FD02F1" w:rsidRDefault="00FD02F1" w:rsidP="00FD02F1">
            <w:pPr>
              <w:jc w:val="center"/>
            </w:pPr>
            <w:r w:rsidRPr="00FD02F1">
              <w:t>1BR - 5</w:t>
            </w:r>
          </w:p>
          <w:p w14:paraId="131A51B9" w14:textId="77777777" w:rsidR="00FD02F1" w:rsidRPr="00FD02F1" w:rsidRDefault="00FD02F1" w:rsidP="00FD02F1">
            <w:pPr>
              <w:jc w:val="center"/>
            </w:pPr>
            <w:r w:rsidRPr="00FD02F1">
              <w:t>2BR - 14</w:t>
            </w:r>
          </w:p>
          <w:p w14:paraId="73BDDC14" w14:textId="77777777" w:rsidR="00FD02F1" w:rsidRPr="00FD02F1" w:rsidRDefault="00FD02F1" w:rsidP="00FD02F1">
            <w:pPr>
              <w:jc w:val="center"/>
            </w:pPr>
          </w:p>
        </w:tc>
      </w:tr>
      <w:tr w:rsidR="00FD02F1" w:rsidRPr="00FD02F1" w14:paraId="7DC433BF" w14:textId="77777777" w:rsidTr="00FD02F1">
        <w:trPr>
          <w:jc w:val="center"/>
        </w:trPr>
        <w:tc>
          <w:tcPr>
            <w:tcW w:w="1975" w:type="dxa"/>
            <w:shd w:val="clear" w:color="auto" w:fill="C6D9F1" w:themeFill="text2" w:themeFillTint="33"/>
          </w:tcPr>
          <w:p w14:paraId="7CF8E6ED" w14:textId="77777777" w:rsidR="00FD02F1" w:rsidRPr="00FD02F1" w:rsidRDefault="00FD02F1" w:rsidP="00FD02F1">
            <w:pPr>
              <w:rPr>
                <w:b/>
              </w:rPr>
            </w:pPr>
            <w:r w:rsidRPr="00FD02F1">
              <w:rPr>
                <w:b/>
              </w:rPr>
              <w:t>Unit size</w:t>
            </w:r>
          </w:p>
        </w:tc>
        <w:tc>
          <w:tcPr>
            <w:tcW w:w="2070" w:type="dxa"/>
          </w:tcPr>
          <w:p w14:paraId="73BFFA3F" w14:textId="139B0CC1" w:rsidR="00FD02F1" w:rsidRPr="00FD02F1" w:rsidRDefault="00FD02F1" w:rsidP="00FD02F1">
            <w:pPr>
              <w:jc w:val="center"/>
            </w:pPr>
            <w:r w:rsidRPr="00FD02F1">
              <w:t>1BR – 61</w:t>
            </w:r>
            <w:r>
              <w:t>7</w:t>
            </w:r>
            <w:r w:rsidRPr="00FD02F1">
              <w:t>- 64</w:t>
            </w:r>
            <w:r>
              <w:t>5</w:t>
            </w:r>
            <w:r w:rsidRPr="00FD02F1">
              <w:t xml:space="preserve"> sf</w:t>
            </w:r>
          </w:p>
          <w:p w14:paraId="26F02F4F" w14:textId="77777777" w:rsidR="00FD02F1" w:rsidRPr="00FD02F1" w:rsidRDefault="00FD02F1" w:rsidP="00FD02F1">
            <w:pPr>
              <w:jc w:val="center"/>
            </w:pPr>
            <w:r w:rsidRPr="00FD02F1">
              <w:t>2BR – 900- 922 sf</w:t>
            </w:r>
          </w:p>
        </w:tc>
        <w:tc>
          <w:tcPr>
            <w:tcW w:w="2160" w:type="dxa"/>
          </w:tcPr>
          <w:p w14:paraId="6753BD3E" w14:textId="797CEA1E" w:rsidR="00FD02F1" w:rsidRPr="00FD02F1" w:rsidRDefault="00FD02F1" w:rsidP="00FD02F1">
            <w:pPr>
              <w:jc w:val="center"/>
            </w:pPr>
            <w:r w:rsidRPr="00FD02F1">
              <w:t>1BR – 61</w:t>
            </w:r>
            <w:r>
              <w:t>7</w:t>
            </w:r>
            <w:r w:rsidRPr="00FD02F1">
              <w:t>- 641 sf</w:t>
            </w:r>
          </w:p>
          <w:p w14:paraId="128FE1AC" w14:textId="59135B9C" w:rsidR="00FD02F1" w:rsidRPr="00FD02F1" w:rsidRDefault="00FD02F1" w:rsidP="00FD02F1">
            <w:pPr>
              <w:jc w:val="center"/>
            </w:pPr>
            <w:r w:rsidRPr="00FD02F1">
              <w:t>2BR – 877- 1</w:t>
            </w:r>
            <w:r>
              <w:t>133</w:t>
            </w:r>
            <w:r w:rsidRPr="00FD02F1">
              <w:t xml:space="preserve"> sf</w:t>
            </w:r>
          </w:p>
          <w:p w14:paraId="34D13769" w14:textId="77777777" w:rsidR="00FD02F1" w:rsidRPr="00FD02F1" w:rsidRDefault="00FD02F1" w:rsidP="00FD02F1">
            <w:pPr>
              <w:jc w:val="center"/>
            </w:pPr>
            <w:r w:rsidRPr="00FD02F1">
              <w:t>3BR -  1133 sf</w:t>
            </w:r>
          </w:p>
        </w:tc>
        <w:tc>
          <w:tcPr>
            <w:tcW w:w="2160" w:type="dxa"/>
          </w:tcPr>
          <w:p w14:paraId="59478C43" w14:textId="7B7CE7C3" w:rsidR="00FD02F1" w:rsidRPr="00FD02F1" w:rsidRDefault="00FD02F1" w:rsidP="00FD02F1">
            <w:pPr>
              <w:jc w:val="center"/>
            </w:pPr>
            <w:r w:rsidRPr="00FD02F1">
              <w:t>1BR – 61</w:t>
            </w:r>
            <w:r>
              <w:t>7</w:t>
            </w:r>
            <w:r w:rsidRPr="00FD02F1">
              <w:t>-721 sf</w:t>
            </w:r>
          </w:p>
          <w:p w14:paraId="28DCCD5E" w14:textId="77777777" w:rsidR="00FD02F1" w:rsidRPr="00FD02F1" w:rsidRDefault="00FD02F1" w:rsidP="00FD02F1">
            <w:pPr>
              <w:jc w:val="center"/>
            </w:pPr>
            <w:r w:rsidRPr="00FD02F1">
              <w:t>2BR – 877-1133 sf</w:t>
            </w:r>
          </w:p>
          <w:p w14:paraId="39BF5F9F" w14:textId="77777777" w:rsidR="00FD02F1" w:rsidRPr="00FD02F1" w:rsidRDefault="00FD02F1" w:rsidP="00FD02F1">
            <w:pPr>
              <w:jc w:val="center"/>
            </w:pPr>
            <w:r w:rsidRPr="00FD02F1">
              <w:t>3BR -  1133 sf</w:t>
            </w:r>
          </w:p>
        </w:tc>
      </w:tr>
      <w:tr w:rsidR="00FD02F1" w:rsidRPr="00FD02F1" w14:paraId="51676F89" w14:textId="77777777" w:rsidTr="00FD02F1">
        <w:trPr>
          <w:jc w:val="center"/>
        </w:trPr>
        <w:tc>
          <w:tcPr>
            <w:tcW w:w="1975" w:type="dxa"/>
            <w:shd w:val="clear" w:color="auto" w:fill="C6D9F1" w:themeFill="text2" w:themeFillTint="33"/>
          </w:tcPr>
          <w:p w14:paraId="6B02102F" w14:textId="77777777" w:rsidR="00FD02F1" w:rsidRPr="00FD02F1" w:rsidRDefault="00FD02F1" w:rsidP="00FD02F1">
            <w:pPr>
              <w:rPr>
                <w:b/>
              </w:rPr>
            </w:pPr>
            <w:r w:rsidRPr="00FD02F1">
              <w:rPr>
                <w:b/>
              </w:rPr>
              <w:t>Building floor area</w:t>
            </w:r>
          </w:p>
        </w:tc>
        <w:tc>
          <w:tcPr>
            <w:tcW w:w="2070" w:type="dxa"/>
          </w:tcPr>
          <w:p w14:paraId="4933C732" w14:textId="04823B95" w:rsidR="00FD02F1" w:rsidRPr="00FD02F1" w:rsidRDefault="00FD02F1" w:rsidP="00FD02F1">
            <w:pPr>
              <w:jc w:val="center"/>
            </w:pPr>
            <w:r>
              <w:t>20,422</w:t>
            </w:r>
            <w:r w:rsidRPr="00FD02F1">
              <w:t xml:space="preserve"> sf</w:t>
            </w:r>
          </w:p>
        </w:tc>
        <w:tc>
          <w:tcPr>
            <w:tcW w:w="2160" w:type="dxa"/>
          </w:tcPr>
          <w:p w14:paraId="626DA733" w14:textId="62D718CF" w:rsidR="00FD02F1" w:rsidRPr="00FD02F1" w:rsidRDefault="00FD02F1" w:rsidP="00FD02F1">
            <w:pPr>
              <w:jc w:val="center"/>
            </w:pPr>
            <w:r>
              <w:t>20,422</w:t>
            </w:r>
            <w:r w:rsidRPr="00FD02F1">
              <w:t xml:space="preserve"> sf</w:t>
            </w:r>
          </w:p>
        </w:tc>
        <w:tc>
          <w:tcPr>
            <w:tcW w:w="2160" w:type="dxa"/>
          </w:tcPr>
          <w:p w14:paraId="23B427CC" w14:textId="0168467E" w:rsidR="00FD02F1" w:rsidRPr="00FD02F1" w:rsidRDefault="00FD02F1" w:rsidP="00FD02F1">
            <w:pPr>
              <w:jc w:val="center"/>
            </w:pPr>
            <w:r>
              <w:t>19,514</w:t>
            </w:r>
            <w:r w:rsidRPr="00FD02F1">
              <w:t xml:space="preserve"> sf</w:t>
            </w:r>
          </w:p>
        </w:tc>
      </w:tr>
      <w:tr w:rsidR="00FD02F1" w:rsidRPr="00FD02F1" w14:paraId="5729AF2E" w14:textId="77777777" w:rsidTr="00FD02F1">
        <w:trPr>
          <w:jc w:val="center"/>
        </w:trPr>
        <w:tc>
          <w:tcPr>
            <w:tcW w:w="1975" w:type="dxa"/>
            <w:shd w:val="clear" w:color="auto" w:fill="C6D9F1" w:themeFill="text2" w:themeFillTint="33"/>
          </w:tcPr>
          <w:p w14:paraId="082EBDFA" w14:textId="77777777" w:rsidR="00FD02F1" w:rsidRPr="00FD02F1" w:rsidRDefault="00FD02F1" w:rsidP="00FD02F1">
            <w:pPr>
              <w:rPr>
                <w:b/>
              </w:rPr>
            </w:pPr>
            <w:r w:rsidRPr="00FD02F1">
              <w:rPr>
                <w:b/>
              </w:rPr>
              <w:t>Type</w:t>
            </w:r>
          </w:p>
        </w:tc>
        <w:tc>
          <w:tcPr>
            <w:tcW w:w="2070" w:type="dxa"/>
          </w:tcPr>
          <w:p w14:paraId="043AE62F" w14:textId="77777777" w:rsidR="00FD02F1" w:rsidRPr="00FD02F1" w:rsidRDefault="00FD02F1" w:rsidP="00FD02F1">
            <w:pPr>
              <w:jc w:val="center"/>
            </w:pPr>
            <w:r w:rsidRPr="00FD02F1">
              <w:t>Rental</w:t>
            </w:r>
          </w:p>
        </w:tc>
        <w:tc>
          <w:tcPr>
            <w:tcW w:w="2160" w:type="dxa"/>
          </w:tcPr>
          <w:p w14:paraId="629D3BB0" w14:textId="77777777" w:rsidR="00FD02F1" w:rsidRPr="00FD02F1" w:rsidRDefault="00FD02F1" w:rsidP="00FD02F1">
            <w:pPr>
              <w:jc w:val="center"/>
            </w:pPr>
            <w:r w:rsidRPr="00FD02F1">
              <w:t>Rental</w:t>
            </w:r>
          </w:p>
        </w:tc>
        <w:tc>
          <w:tcPr>
            <w:tcW w:w="2160" w:type="dxa"/>
          </w:tcPr>
          <w:p w14:paraId="4507CBFE" w14:textId="77777777" w:rsidR="00FD02F1" w:rsidRPr="00FD02F1" w:rsidRDefault="00FD02F1" w:rsidP="00FD02F1">
            <w:pPr>
              <w:jc w:val="center"/>
            </w:pPr>
            <w:r w:rsidRPr="00FD02F1">
              <w:t>Rental</w:t>
            </w:r>
          </w:p>
        </w:tc>
      </w:tr>
    </w:tbl>
    <w:p w14:paraId="0A52AEB5" w14:textId="77777777" w:rsidR="009F545D" w:rsidRPr="00327187" w:rsidRDefault="009F545D" w:rsidP="00F47C4B">
      <w:pPr>
        <w:tabs>
          <w:tab w:val="left" w:pos="7884"/>
        </w:tabs>
        <w:spacing w:after="240"/>
        <w:jc w:val="both"/>
        <w:rPr>
          <w:highlight w:val="yellow"/>
        </w:rPr>
      </w:pPr>
    </w:p>
    <w:p w14:paraId="7D1BBA9B" w14:textId="1FF5460B" w:rsidR="00A47767" w:rsidRDefault="00A47767" w:rsidP="0034337E">
      <w:pPr>
        <w:keepNext/>
        <w:spacing w:after="120"/>
        <w:rPr>
          <w:i/>
          <w:iCs/>
          <w:color w:val="365F91"/>
          <w:u w:val="single"/>
        </w:rPr>
      </w:pPr>
      <w:r w:rsidRPr="00826D99">
        <w:rPr>
          <w:i/>
          <w:iCs/>
          <w:color w:val="365F91"/>
          <w:u w:val="single"/>
        </w:rPr>
        <w:t>Housing Affordability</w:t>
      </w:r>
    </w:p>
    <w:p w14:paraId="5F40454E" w14:textId="7E115FD5" w:rsidR="00826D99" w:rsidRPr="00826D99" w:rsidRDefault="00826D99" w:rsidP="00826D99">
      <w:r w:rsidRPr="00826D99">
        <w:t>Cape View Way will expand housing options for households at a range of incomes</w:t>
      </w:r>
      <w:r w:rsidR="004269D0">
        <w:t xml:space="preserve"> (Table 2)</w:t>
      </w:r>
      <w:r w:rsidRPr="00826D99">
        <w:t xml:space="preserve">.  The units will be available to residents earning 30% of the Area Median Income to 80% of the Area Median Income, creating a mixed income community. For </w:t>
      </w:r>
      <w:r w:rsidR="008D14E3">
        <w:t>Low Income Housing Tax Credit (</w:t>
      </w:r>
      <w:r w:rsidRPr="00826D99">
        <w:t>LIHTC</w:t>
      </w:r>
      <w:r w:rsidR="008D14E3">
        <w:t>)</w:t>
      </w:r>
      <w:r w:rsidRPr="00826D99">
        <w:t xml:space="preserve"> and Workforce units, income-eligible residents are required to pay the full rent, therefore, residents must be working in order to meet the monthly rent payment. For Section 8 </w:t>
      </w:r>
      <w:r w:rsidRPr="00826D99">
        <w:lastRenderedPageBreak/>
        <w:t>units, residents typically pay between 30-50% of their household income towards the rent payment and a housing payment voucher from a local housing authority covers the difference.</w:t>
      </w:r>
    </w:p>
    <w:p w14:paraId="4E87C307" w14:textId="24EB7ADB" w:rsidR="00826D99" w:rsidRDefault="00826D99" w:rsidP="00826D99">
      <w:r w:rsidRPr="00826D99">
        <w:t xml:space="preserve">According to the Department of Housing and Community Development, as of December 21, 2020, only 6.9% of Bourne housing is subsidized. </w:t>
      </w:r>
    </w:p>
    <w:p w14:paraId="646DD625" w14:textId="08227D89" w:rsidR="00826D99" w:rsidRPr="00FD02F1" w:rsidRDefault="00826D99" w:rsidP="00826D99">
      <w:pPr>
        <w:spacing w:after="120"/>
        <w:rPr>
          <w:b/>
          <w:bCs/>
          <w:color w:val="365F91"/>
          <w:szCs w:val="22"/>
        </w:rPr>
      </w:pPr>
      <w:r w:rsidRPr="00FD02F1">
        <w:rPr>
          <w:b/>
          <w:bCs/>
          <w:color w:val="365F91"/>
          <w:szCs w:val="22"/>
        </w:rPr>
        <w:t xml:space="preserve">Table </w:t>
      </w:r>
      <w:r>
        <w:rPr>
          <w:b/>
          <w:bCs/>
          <w:color w:val="365F91"/>
          <w:szCs w:val="22"/>
        </w:rPr>
        <w:t>2</w:t>
      </w:r>
      <w:r w:rsidRPr="00FD02F1">
        <w:rPr>
          <w:b/>
          <w:bCs/>
          <w:color w:val="365F91"/>
          <w:szCs w:val="22"/>
        </w:rPr>
        <w:t xml:space="preserve">: </w:t>
      </w:r>
      <w:r>
        <w:rPr>
          <w:b/>
          <w:bCs/>
          <w:color w:val="365F91"/>
          <w:szCs w:val="22"/>
        </w:rPr>
        <w:t>Income and Rent Limits</w:t>
      </w:r>
    </w:p>
    <w:tbl>
      <w:tblPr>
        <w:tblStyle w:val="GridTable2-Accent1"/>
        <w:tblW w:w="4364"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721"/>
        <w:gridCol w:w="1621"/>
        <w:gridCol w:w="1529"/>
        <w:gridCol w:w="1619"/>
        <w:gridCol w:w="1363"/>
      </w:tblGrid>
      <w:tr w:rsidR="00826D99" w14:paraId="145EB0D2" w14:textId="77777777" w:rsidTr="00826D99">
        <w:trPr>
          <w:cnfStyle w:val="100000000000" w:firstRow="1" w:lastRow="0" w:firstColumn="0" w:lastColumn="0" w:oddVBand="0" w:evenVBand="0" w:oddHBand="0" w:evenHBand="0" w:firstRowFirstColumn="0" w:firstRowLastColumn="0" w:lastRowFirstColumn="0" w:lastRowLastColumn="0"/>
          <w:trHeight w:hRule="exact" w:val="906"/>
        </w:trPr>
        <w:tc>
          <w:tcPr>
            <w:cnfStyle w:val="001000000000" w:firstRow="0" w:lastRow="0" w:firstColumn="1" w:lastColumn="0" w:oddVBand="0" w:evenVBand="0" w:oddHBand="0" w:evenHBand="0" w:firstRowFirstColumn="0" w:firstRowLastColumn="0" w:lastRowFirstColumn="0" w:lastRowLastColumn="0"/>
            <w:tcW w:w="801" w:type="pct"/>
            <w:tcBorders>
              <w:top w:val="single" w:sz="4" w:space="0" w:color="auto"/>
              <w:bottom w:val="single" w:sz="4" w:space="0" w:color="auto"/>
              <w:right w:val="single" w:sz="4" w:space="0" w:color="auto"/>
            </w:tcBorders>
            <w:shd w:val="clear" w:color="auto" w:fill="C6D9F1" w:themeFill="text2" w:themeFillTint="33"/>
            <w:vAlign w:val="center"/>
            <w:hideMark/>
          </w:tcPr>
          <w:p w14:paraId="54C5DC10" w14:textId="77777777" w:rsidR="00826D99" w:rsidRDefault="00826D99" w:rsidP="00826D99">
            <w:pPr>
              <w:pStyle w:val="TableParagraph"/>
              <w:spacing w:before="0"/>
              <w:ind w:left="-120" w:right="-105"/>
              <w:rPr>
                <w:rFonts w:asciiTheme="minorHAnsi" w:hAnsiTheme="minorHAnsi" w:cstheme="minorHAnsi"/>
                <w:sz w:val="20"/>
                <w:szCs w:val="20"/>
              </w:rPr>
            </w:pPr>
            <w:r>
              <w:rPr>
                <w:rFonts w:asciiTheme="minorHAnsi" w:hAnsiTheme="minorHAnsi" w:cstheme="minorHAnsi"/>
                <w:sz w:val="20"/>
                <w:szCs w:val="20"/>
              </w:rPr>
              <w:t>Unit Type</w:t>
            </w:r>
          </w:p>
        </w:tc>
        <w:tc>
          <w:tcPr>
            <w:cnfStyle w:val="000010000000" w:firstRow="0" w:lastRow="0" w:firstColumn="0" w:lastColumn="0" w:oddVBand="1"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982907" w14:textId="77777777" w:rsidR="00826D99" w:rsidRDefault="00826D99" w:rsidP="00826D99">
            <w:pPr>
              <w:pStyle w:val="TableParagraph"/>
              <w:spacing w:before="0"/>
              <w:ind w:left="-104" w:right="-150"/>
              <w:rPr>
                <w:rFonts w:asciiTheme="minorHAnsi" w:hAnsiTheme="minorHAnsi" w:cstheme="minorHAnsi"/>
                <w:sz w:val="20"/>
                <w:szCs w:val="20"/>
              </w:rPr>
            </w:pPr>
            <w:r>
              <w:rPr>
                <w:rFonts w:asciiTheme="minorHAnsi" w:hAnsiTheme="minorHAnsi" w:cstheme="minorHAnsi"/>
                <w:sz w:val="20"/>
                <w:szCs w:val="20"/>
              </w:rPr>
              <w:t># of units</w:t>
            </w:r>
          </w:p>
        </w:tc>
        <w:tc>
          <w:tcPr>
            <w:tcW w:w="9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6ADBDD" w14:textId="44B010C0" w:rsidR="00826D99" w:rsidRDefault="00826D99" w:rsidP="00826D99">
            <w:pPr>
              <w:pStyle w:val="TableParagraph"/>
              <w:spacing w:before="0"/>
              <w:ind w:left="-149" w:right="-15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w:t>
            </w:r>
            <w:r w:rsidR="004269D0">
              <w:rPr>
                <w:rFonts w:asciiTheme="minorHAnsi" w:hAnsiTheme="minorHAnsi" w:cstheme="minorHAnsi"/>
                <w:sz w:val="20"/>
                <w:szCs w:val="20"/>
              </w:rPr>
              <w:t xml:space="preserve">rea </w:t>
            </w:r>
            <w:r>
              <w:rPr>
                <w:rFonts w:asciiTheme="minorHAnsi" w:hAnsiTheme="minorHAnsi" w:cstheme="minorHAnsi"/>
                <w:sz w:val="20"/>
                <w:szCs w:val="20"/>
              </w:rPr>
              <w:t>M</w:t>
            </w:r>
            <w:r w:rsidR="004269D0">
              <w:rPr>
                <w:rFonts w:asciiTheme="minorHAnsi" w:hAnsiTheme="minorHAnsi" w:cstheme="minorHAnsi"/>
                <w:sz w:val="20"/>
                <w:szCs w:val="20"/>
              </w:rPr>
              <w:t xml:space="preserve">edian </w:t>
            </w:r>
            <w:r>
              <w:rPr>
                <w:rFonts w:asciiTheme="minorHAnsi" w:hAnsiTheme="minorHAnsi" w:cstheme="minorHAnsi"/>
                <w:sz w:val="20"/>
                <w:szCs w:val="20"/>
              </w:rPr>
              <w:t>I</w:t>
            </w:r>
            <w:r w:rsidR="004269D0">
              <w:rPr>
                <w:rFonts w:asciiTheme="minorHAnsi" w:hAnsiTheme="minorHAnsi" w:cstheme="minorHAnsi"/>
                <w:sz w:val="20"/>
                <w:szCs w:val="20"/>
              </w:rPr>
              <w:t>ncome</w:t>
            </w:r>
          </w:p>
        </w:tc>
        <w:tc>
          <w:tcPr>
            <w:cnfStyle w:val="000010000000" w:firstRow="0" w:lastRow="0" w:firstColumn="0" w:lastColumn="0" w:oddVBand="1" w:evenVBand="0" w:oddHBand="0" w:evenHBand="0" w:firstRowFirstColumn="0" w:firstRowLastColumn="0" w:lastRowFirstColumn="0" w:lastRowLastColumn="0"/>
            <w:tcW w:w="93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381A3D3" w14:textId="77777777" w:rsidR="00826D99" w:rsidRDefault="00826D99" w:rsidP="00826D99">
            <w:pPr>
              <w:pStyle w:val="TableParagraph"/>
              <w:spacing w:before="0"/>
              <w:ind w:left="-149" w:right="-120"/>
              <w:rPr>
                <w:rFonts w:asciiTheme="minorHAnsi" w:hAnsiTheme="minorHAnsi" w:cstheme="minorHAnsi"/>
                <w:sz w:val="20"/>
                <w:szCs w:val="20"/>
              </w:rPr>
            </w:pPr>
            <w:r>
              <w:rPr>
                <w:rFonts w:asciiTheme="minorHAnsi" w:hAnsiTheme="minorHAnsi" w:cstheme="minorHAnsi"/>
                <w:sz w:val="20"/>
                <w:szCs w:val="20"/>
              </w:rPr>
              <w:t># of People per Household</w:t>
            </w:r>
          </w:p>
        </w:tc>
        <w:tc>
          <w:tcPr>
            <w:tcW w:w="9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7696EA" w14:textId="77777777" w:rsidR="00826D99" w:rsidRDefault="00826D99" w:rsidP="00826D99">
            <w:pPr>
              <w:pStyle w:val="TableParagraph"/>
              <w:spacing w:before="0"/>
              <w:ind w:left="-44" w:right="-120" w:firstLine="3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Income Limits (2021)</w:t>
            </w: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auto"/>
              <w:left w:val="single" w:sz="4" w:space="0" w:color="auto"/>
              <w:bottom w:val="single" w:sz="4" w:space="0" w:color="auto"/>
            </w:tcBorders>
            <w:shd w:val="clear" w:color="auto" w:fill="C6D9F1" w:themeFill="text2" w:themeFillTint="33"/>
            <w:vAlign w:val="center"/>
            <w:hideMark/>
          </w:tcPr>
          <w:p w14:paraId="338870DE" w14:textId="77777777" w:rsidR="00826D99" w:rsidRDefault="00826D99" w:rsidP="00826D99">
            <w:pPr>
              <w:pStyle w:val="TableParagraph"/>
              <w:spacing w:before="0"/>
              <w:rPr>
                <w:rFonts w:asciiTheme="minorHAnsi" w:hAnsiTheme="minorHAnsi" w:cstheme="minorHAnsi"/>
                <w:sz w:val="20"/>
                <w:szCs w:val="20"/>
              </w:rPr>
            </w:pPr>
            <w:r>
              <w:rPr>
                <w:rFonts w:asciiTheme="minorHAnsi" w:hAnsiTheme="minorHAnsi" w:cstheme="minorHAnsi"/>
                <w:sz w:val="20"/>
                <w:szCs w:val="20"/>
              </w:rPr>
              <w:t>Rent Limits (2021)</w:t>
            </w:r>
          </w:p>
        </w:tc>
      </w:tr>
      <w:tr w:rsidR="00826D99" w14:paraId="6EB5F2ED" w14:textId="77777777" w:rsidTr="00826D99">
        <w:trPr>
          <w:cnfStyle w:val="000000100000" w:firstRow="0" w:lastRow="0" w:firstColumn="0" w:lastColumn="0" w:oddVBand="0" w:evenVBand="0" w:oddHBand="1"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801" w:type="pct"/>
            <w:tcBorders>
              <w:top w:val="single" w:sz="4" w:space="0" w:color="auto"/>
            </w:tcBorders>
            <w:shd w:val="clear" w:color="auto" w:fill="FFFFFF" w:themeFill="background1"/>
            <w:hideMark/>
          </w:tcPr>
          <w:p w14:paraId="0FB2164C" w14:textId="77777777" w:rsidR="00826D99" w:rsidRDefault="00826D99">
            <w:pPr>
              <w:pStyle w:val="TableParagraph"/>
              <w:ind w:right="-90"/>
              <w:rPr>
                <w:rFonts w:asciiTheme="minorHAnsi" w:hAnsiTheme="minorHAnsi" w:cstheme="minorHAnsi"/>
                <w:b w:val="0"/>
                <w:bCs w:val="0"/>
                <w:sz w:val="20"/>
                <w:szCs w:val="20"/>
              </w:rPr>
            </w:pPr>
            <w:r>
              <w:rPr>
                <w:rFonts w:asciiTheme="minorHAnsi" w:hAnsiTheme="minorHAnsi" w:cstheme="minorHAnsi"/>
                <w:b w:val="0"/>
                <w:bCs w:val="0"/>
                <w:sz w:val="20"/>
                <w:szCs w:val="20"/>
              </w:rPr>
              <w:t>1BR</w:t>
            </w:r>
          </w:p>
        </w:tc>
        <w:tc>
          <w:tcPr>
            <w:cnfStyle w:val="000010000000" w:firstRow="0" w:lastRow="0" w:firstColumn="0" w:lastColumn="0" w:oddVBand="1" w:evenVBand="0" w:oddHBand="0" w:evenHBand="0" w:firstRowFirstColumn="0" w:firstRowLastColumn="0" w:lastRowFirstColumn="0" w:lastRowLastColumn="0"/>
            <w:tcW w:w="442" w:type="pct"/>
            <w:tcBorders>
              <w:top w:val="single" w:sz="4" w:space="0" w:color="auto"/>
            </w:tcBorders>
            <w:shd w:val="clear" w:color="auto" w:fill="FFFFFF" w:themeFill="background1"/>
            <w:hideMark/>
          </w:tcPr>
          <w:p w14:paraId="3E0E2951" w14:textId="77777777" w:rsidR="00826D99" w:rsidRDefault="00826D99">
            <w:pPr>
              <w:pStyle w:val="TableParagraph"/>
              <w:ind w:left="-119" w:right="-120"/>
              <w:rPr>
                <w:rFonts w:asciiTheme="minorHAnsi" w:hAnsiTheme="minorHAnsi" w:cstheme="minorHAnsi"/>
                <w:sz w:val="20"/>
                <w:szCs w:val="20"/>
              </w:rPr>
            </w:pPr>
            <w:r>
              <w:rPr>
                <w:rFonts w:asciiTheme="minorHAnsi" w:hAnsiTheme="minorHAnsi" w:cstheme="minorHAnsi"/>
                <w:sz w:val="20"/>
                <w:szCs w:val="20"/>
              </w:rPr>
              <w:t>10</w:t>
            </w:r>
          </w:p>
        </w:tc>
        <w:tc>
          <w:tcPr>
            <w:tcW w:w="993" w:type="pct"/>
            <w:tcBorders>
              <w:top w:val="single" w:sz="4" w:space="0" w:color="auto"/>
            </w:tcBorders>
            <w:shd w:val="clear" w:color="auto" w:fill="FFFFFF" w:themeFill="background1"/>
            <w:hideMark/>
          </w:tcPr>
          <w:p w14:paraId="4053DBBF" w14:textId="77777777" w:rsidR="00826D99" w:rsidRDefault="00826D99">
            <w:pPr>
              <w:pStyle w:val="TableParagraph"/>
              <w:ind w:right="-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LIHTC- 60%</w:t>
            </w:r>
          </w:p>
        </w:tc>
        <w:tc>
          <w:tcPr>
            <w:cnfStyle w:val="000010000000" w:firstRow="0" w:lastRow="0" w:firstColumn="0" w:lastColumn="0" w:oddVBand="1" w:evenVBand="0" w:oddHBand="0" w:evenHBand="0" w:firstRowFirstColumn="0" w:firstRowLastColumn="0" w:lastRowFirstColumn="0" w:lastRowLastColumn="0"/>
            <w:tcW w:w="937" w:type="pct"/>
            <w:tcBorders>
              <w:top w:val="single" w:sz="4" w:space="0" w:color="auto"/>
            </w:tcBorders>
            <w:shd w:val="clear" w:color="auto" w:fill="FFFFFF" w:themeFill="background1"/>
            <w:hideMark/>
          </w:tcPr>
          <w:p w14:paraId="6C2207A0" w14:textId="77777777" w:rsidR="00826D99" w:rsidRDefault="00826D99">
            <w:pPr>
              <w:pStyle w:val="TableParagraph"/>
              <w:ind w:left="-149" w:right="-150"/>
              <w:rPr>
                <w:rFonts w:asciiTheme="minorHAnsi" w:hAnsiTheme="minorHAnsi" w:cstheme="minorHAnsi"/>
                <w:sz w:val="20"/>
                <w:szCs w:val="20"/>
              </w:rPr>
            </w:pPr>
            <w:r>
              <w:rPr>
                <w:rFonts w:asciiTheme="minorHAnsi" w:hAnsiTheme="minorHAnsi" w:cstheme="minorHAnsi"/>
                <w:sz w:val="20"/>
                <w:szCs w:val="20"/>
              </w:rPr>
              <w:t>1-2</w:t>
            </w:r>
          </w:p>
        </w:tc>
        <w:tc>
          <w:tcPr>
            <w:tcW w:w="992" w:type="pct"/>
            <w:tcBorders>
              <w:top w:val="single" w:sz="4" w:space="0" w:color="auto"/>
            </w:tcBorders>
            <w:shd w:val="clear" w:color="auto" w:fill="FFFFFF" w:themeFill="background1"/>
            <w:hideMark/>
          </w:tcPr>
          <w:p w14:paraId="708B6BC6" w14:textId="77777777" w:rsidR="00826D99" w:rsidRDefault="00826D99">
            <w:pPr>
              <w:pStyle w:val="TableParagraph"/>
              <w:ind w:left="-104" w:right="-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$40,680-$46,680</w:t>
            </w: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auto"/>
            </w:tcBorders>
            <w:shd w:val="clear" w:color="auto" w:fill="FFFFFF" w:themeFill="background1"/>
            <w:hideMark/>
          </w:tcPr>
          <w:p w14:paraId="2FB28570" w14:textId="77777777" w:rsidR="00826D99" w:rsidRDefault="00826D99">
            <w:pPr>
              <w:pStyle w:val="TableParagraph"/>
              <w:ind w:left="-104" w:right="-104"/>
              <w:rPr>
                <w:rFonts w:asciiTheme="minorHAnsi" w:hAnsiTheme="minorHAnsi" w:cstheme="minorHAnsi"/>
                <w:b w:val="0"/>
                <w:bCs w:val="0"/>
                <w:sz w:val="20"/>
                <w:szCs w:val="20"/>
              </w:rPr>
            </w:pPr>
            <w:r>
              <w:rPr>
                <w:rFonts w:asciiTheme="minorHAnsi" w:hAnsiTheme="minorHAnsi" w:cstheme="minorHAnsi"/>
                <w:b w:val="0"/>
                <w:bCs w:val="0"/>
                <w:sz w:val="20"/>
                <w:szCs w:val="20"/>
              </w:rPr>
              <w:t>$1,094</w:t>
            </w:r>
          </w:p>
        </w:tc>
      </w:tr>
      <w:tr w:rsidR="00826D99" w14:paraId="366B8F51" w14:textId="77777777" w:rsidTr="00826D99">
        <w:trPr>
          <w:trHeight w:hRule="exact" w:val="703"/>
        </w:trPr>
        <w:tc>
          <w:tcPr>
            <w:cnfStyle w:val="001000000000" w:firstRow="0" w:lastRow="0" w:firstColumn="1" w:lastColumn="0" w:oddVBand="0" w:evenVBand="0" w:oddHBand="0" w:evenHBand="0" w:firstRowFirstColumn="0" w:firstRowLastColumn="0" w:lastRowFirstColumn="0" w:lastRowLastColumn="0"/>
            <w:tcW w:w="801" w:type="pct"/>
            <w:shd w:val="clear" w:color="auto" w:fill="FFFFFF" w:themeFill="background1"/>
            <w:hideMark/>
          </w:tcPr>
          <w:p w14:paraId="553554C0" w14:textId="77777777" w:rsidR="00826D99" w:rsidRDefault="00826D99">
            <w:pPr>
              <w:pStyle w:val="TableParagraph"/>
              <w:ind w:right="-90"/>
              <w:rPr>
                <w:rFonts w:asciiTheme="minorHAnsi" w:hAnsiTheme="minorHAnsi" w:cstheme="minorHAnsi"/>
                <w:b w:val="0"/>
                <w:bCs w:val="0"/>
                <w:sz w:val="20"/>
                <w:szCs w:val="20"/>
              </w:rPr>
            </w:pPr>
            <w:r>
              <w:rPr>
                <w:rFonts w:asciiTheme="minorHAnsi" w:hAnsiTheme="minorHAnsi" w:cstheme="minorHAnsi"/>
                <w:b w:val="0"/>
                <w:bCs w:val="0"/>
                <w:sz w:val="20"/>
                <w:szCs w:val="20"/>
              </w:rPr>
              <w:t>1BR</w:t>
            </w:r>
          </w:p>
        </w:tc>
        <w:tc>
          <w:tcPr>
            <w:cnfStyle w:val="000010000000" w:firstRow="0" w:lastRow="0" w:firstColumn="0" w:lastColumn="0" w:oddVBand="1" w:evenVBand="0" w:oddHBand="0" w:evenHBand="0" w:firstRowFirstColumn="0" w:firstRowLastColumn="0" w:lastRowFirstColumn="0" w:lastRowLastColumn="0"/>
            <w:tcW w:w="442" w:type="pct"/>
            <w:shd w:val="clear" w:color="auto" w:fill="FFFFFF" w:themeFill="background1"/>
            <w:hideMark/>
          </w:tcPr>
          <w:p w14:paraId="7A011DE4" w14:textId="77777777" w:rsidR="00826D99" w:rsidRDefault="00826D99">
            <w:pPr>
              <w:pStyle w:val="TableParagraph"/>
              <w:ind w:left="-119" w:right="-120"/>
              <w:rPr>
                <w:rFonts w:asciiTheme="minorHAnsi" w:hAnsiTheme="minorHAnsi" w:cstheme="minorHAnsi"/>
                <w:sz w:val="20"/>
                <w:szCs w:val="20"/>
              </w:rPr>
            </w:pPr>
            <w:r>
              <w:rPr>
                <w:rFonts w:asciiTheme="minorHAnsi" w:hAnsiTheme="minorHAnsi" w:cstheme="minorHAnsi"/>
                <w:sz w:val="20"/>
                <w:szCs w:val="20"/>
              </w:rPr>
              <w:t>7</w:t>
            </w:r>
          </w:p>
        </w:tc>
        <w:tc>
          <w:tcPr>
            <w:tcW w:w="993" w:type="pct"/>
            <w:shd w:val="clear" w:color="auto" w:fill="FFFFFF" w:themeFill="background1"/>
            <w:hideMark/>
          </w:tcPr>
          <w:p w14:paraId="17E4B35C" w14:textId="77777777" w:rsidR="00826D99" w:rsidRDefault="00826D99">
            <w:pPr>
              <w:pStyle w:val="TableParagraph"/>
              <w:ind w:right="-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Workforce-80%</w:t>
            </w:r>
          </w:p>
        </w:tc>
        <w:tc>
          <w:tcPr>
            <w:cnfStyle w:val="000010000000" w:firstRow="0" w:lastRow="0" w:firstColumn="0" w:lastColumn="0" w:oddVBand="1" w:evenVBand="0" w:oddHBand="0" w:evenHBand="0" w:firstRowFirstColumn="0" w:firstRowLastColumn="0" w:lastRowFirstColumn="0" w:lastRowLastColumn="0"/>
            <w:tcW w:w="937" w:type="pct"/>
            <w:shd w:val="clear" w:color="auto" w:fill="FFFFFF" w:themeFill="background1"/>
            <w:hideMark/>
          </w:tcPr>
          <w:p w14:paraId="3BC189E4" w14:textId="77777777" w:rsidR="00826D99" w:rsidRDefault="00826D99">
            <w:pPr>
              <w:pStyle w:val="TableParagraph"/>
              <w:ind w:left="-149" w:right="-150"/>
              <w:rPr>
                <w:rFonts w:asciiTheme="minorHAnsi" w:hAnsiTheme="minorHAnsi" w:cstheme="minorHAnsi"/>
                <w:sz w:val="20"/>
                <w:szCs w:val="20"/>
              </w:rPr>
            </w:pPr>
            <w:r>
              <w:rPr>
                <w:rFonts w:asciiTheme="minorHAnsi" w:hAnsiTheme="minorHAnsi" w:cstheme="minorHAnsi"/>
                <w:sz w:val="20"/>
                <w:szCs w:val="20"/>
              </w:rPr>
              <w:t>1-2</w:t>
            </w:r>
          </w:p>
        </w:tc>
        <w:tc>
          <w:tcPr>
            <w:tcW w:w="992" w:type="pct"/>
            <w:shd w:val="clear" w:color="auto" w:fill="FFFFFF" w:themeFill="background1"/>
            <w:hideMark/>
          </w:tcPr>
          <w:p w14:paraId="0AD3D5E2" w14:textId="77777777" w:rsidR="00826D99" w:rsidRDefault="00826D99">
            <w:pPr>
              <w:pStyle w:val="TableParagraph"/>
              <w:ind w:left="-104" w:right="-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$54,480-$62,240</w:t>
            </w:r>
          </w:p>
        </w:tc>
        <w:tc>
          <w:tcPr>
            <w:cnfStyle w:val="000100000000" w:firstRow="0" w:lastRow="0" w:firstColumn="0" w:lastColumn="1" w:oddVBand="0" w:evenVBand="0" w:oddHBand="0" w:evenHBand="0" w:firstRowFirstColumn="0" w:firstRowLastColumn="0" w:lastRowFirstColumn="0" w:lastRowLastColumn="0"/>
            <w:tcW w:w="835" w:type="pct"/>
            <w:shd w:val="clear" w:color="auto" w:fill="FFFFFF" w:themeFill="background1"/>
            <w:hideMark/>
          </w:tcPr>
          <w:p w14:paraId="7BC101B6" w14:textId="77777777" w:rsidR="00826D99" w:rsidRDefault="00826D99">
            <w:pPr>
              <w:pStyle w:val="TableParagraph"/>
              <w:ind w:left="-104" w:right="-104"/>
              <w:rPr>
                <w:rFonts w:asciiTheme="minorHAnsi" w:hAnsiTheme="minorHAnsi" w:cstheme="minorHAnsi"/>
                <w:b w:val="0"/>
                <w:bCs w:val="0"/>
                <w:sz w:val="20"/>
                <w:szCs w:val="20"/>
              </w:rPr>
            </w:pPr>
            <w:r>
              <w:rPr>
                <w:rFonts w:asciiTheme="minorHAnsi" w:hAnsiTheme="minorHAnsi" w:cstheme="minorHAnsi"/>
                <w:b w:val="0"/>
                <w:bCs w:val="0"/>
                <w:sz w:val="20"/>
                <w:szCs w:val="20"/>
              </w:rPr>
              <w:t>$1,362</w:t>
            </w:r>
          </w:p>
        </w:tc>
      </w:tr>
      <w:tr w:rsidR="00826D99" w14:paraId="10904F2B" w14:textId="77777777" w:rsidTr="00826D99">
        <w:trPr>
          <w:cnfStyle w:val="000000100000" w:firstRow="0" w:lastRow="0" w:firstColumn="0" w:lastColumn="0" w:oddVBand="0" w:evenVBand="0" w:oddHBand="1" w:evenHBand="0" w:firstRowFirstColumn="0" w:firstRowLastColumn="0" w:lastRowFirstColumn="0" w:lastRowLastColumn="0"/>
          <w:trHeight w:hRule="exact" w:val="469"/>
        </w:trPr>
        <w:tc>
          <w:tcPr>
            <w:cnfStyle w:val="001000000000" w:firstRow="0" w:lastRow="0" w:firstColumn="1" w:lastColumn="0" w:oddVBand="0" w:evenVBand="0" w:oddHBand="0" w:evenHBand="0" w:firstRowFirstColumn="0" w:firstRowLastColumn="0" w:lastRowFirstColumn="0" w:lastRowLastColumn="0"/>
            <w:tcW w:w="801" w:type="pct"/>
            <w:shd w:val="clear" w:color="auto" w:fill="FFFFFF" w:themeFill="background1"/>
            <w:hideMark/>
          </w:tcPr>
          <w:p w14:paraId="5765D4FD" w14:textId="77777777" w:rsidR="00826D99" w:rsidRDefault="00826D99">
            <w:pPr>
              <w:pStyle w:val="TableParagraph"/>
              <w:ind w:right="-90"/>
              <w:rPr>
                <w:rFonts w:asciiTheme="minorHAnsi" w:hAnsiTheme="minorHAnsi" w:cstheme="minorHAnsi"/>
                <w:b w:val="0"/>
                <w:bCs w:val="0"/>
                <w:sz w:val="20"/>
                <w:szCs w:val="20"/>
              </w:rPr>
            </w:pPr>
            <w:r>
              <w:rPr>
                <w:rFonts w:asciiTheme="minorHAnsi" w:hAnsiTheme="minorHAnsi" w:cstheme="minorHAnsi"/>
                <w:b w:val="0"/>
                <w:bCs w:val="0"/>
                <w:sz w:val="20"/>
                <w:szCs w:val="20"/>
              </w:rPr>
              <w:t>2BR</w:t>
            </w:r>
          </w:p>
        </w:tc>
        <w:tc>
          <w:tcPr>
            <w:cnfStyle w:val="000010000000" w:firstRow="0" w:lastRow="0" w:firstColumn="0" w:lastColumn="0" w:oddVBand="1" w:evenVBand="0" w:oddHBand="0" w:evenHBand="0" w:firstRowFirstColumn="0" w:firstRowLastColumn="0" w:lastRowFirstColumn="0" w:lastRowLastColumn="0"/>
            <w:tcW w:w="442" w:type="pct"/>
            <w:shd w:val="clear" w:color="auto" w:fill="FFFFFF" w:themeFill="background1"/>
            <w:hideMark/>
          </w:tcPr>
          <w:p w14:paraId="78A8E172" w14:textId="77777777" w:rsidR="00826D99" w:rsidRDefault="00826D99">
            <w:pPr>
              <w:pStyle w:val="TableParagraph"/>
              <w:ind w:left="-119" w:right="-120"/>
              <w:rPr>
                <w:rFonts w:asciiTheme="minorHAnsi" w:hAnsiTheme="minorHAnsi" w:cstheme="minorHAnsi"/>
                <w:sz w:val="20"/>
                <w:szCs w:val="20"/>
              </w:rPr>
            </w:pPr>
            <w:r>
              <w:rPr>
                <w:rFonts w:asciiTheme="minorHAnsi" w:hAnsiTheme="minorHAnsi" w:cstheme="minorHAnsi"/>
                <w:sz w:val="20"/>
                <w:szCs w:val="20"/>
              </w:rPr>
              <w:t>17</w:t>
            </w:r>
          </w:p>
        </w:tc>
        <w:tc>
          <w:tcPr>
            <w:tcW w:w="993" w:type="pct"/>
            <w:shd w:val="clear" w:color="auto" w:fill="FFFFFF" w:themeFill="background1"/>
            <w:hideMark/>
          </w:tcPr>
          <w:p w14:paraId="01DDD611" w14:textId="77777777" w:rsidR="00826D99" w:rsidRDefault="00826D99">
            <w:pPr>
              <w:pStyle w:val="TableParagraph"/>
              <w:ind w:right="-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LIHTC- 60%</w:t>
            </w:r>
          </w:p>
        </w:tc>
        <w:tc>
          <w:tcPr>
            <w:cnfStyle w:val="000010000000" w:firstRow="0" w:lastRow="0" w:firstColumn="0" w:lastColumn="0" w:oddVBand="1" w:evenVBand="0" w:oddHBand="0" w:evenHBand="0" w:firstRowFirstColumn="0" w:firstRowLastColumn="0" w:lastRowFirstColumn="0" w:lastRowLastColumn="0"/>
            <w:tcW w:w="937" w:type="pct"/>
            <w:shd w:val="clear" w:color="auto" w:fill="FFFFFF" w:themeFill="background1"/>
            <w:hideMark/>
          </w:tcPr>
          <w:p w14:paraId="366A0332" w14:textId="77777777" w:rsidR="00826D99" w:rsidRDefault="00826D99">
            <w:pPr>
              <w:pStyle w:val="TableParagraph"/>
              <w:ind w:left="-149" w:right="-150"/>
              <w:rPr>
                <w:rFonts w:asciiTheme="minorHAnsi" w:hAnsiTheme="minorHAnsi" w:cstheme="minorHAnsi"/>
                <w:sz w:val="20"/>
                <w:szCs w:val="20"/>
              </w:rPr>
            </w:pPr>
            <w:r>
              <w:rPr>
                <w:rFonts w:asciiTheme="minorHAnsi" w:hAnsiTheme="minorHAnsi" w:cstheme="minorHAnsi"/>
                <w:sz w:val="20"/>
                <w:szCs w:val="20"/>
              </w:rPr>
              <w:t>2-4</w:t>
            </w:r>
          </w:p>
        </w:tc>
        <w:tc>
          <w:tcPr>
            <w:tcW w:w="992" w:type="pct"/>
            <w:shd w:val="clear" w:color="auto" w:fill="FFFFFF" w:themeFill="background1"/>
            <w:hideMark/>
          </w:tcPr>
          <w:p w14:paraId="1C0977C6" w14:textId="77777777" w:rsidR="00826D99" w:rsidRDefault="00826D99">
            <w:pPr>
              <w:pStyle w:val="TableParagraph"/>
              <w:ind w:left="-104" w:right="-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$46,680-$58,320</w:t>
            </w:r>
          </w:p>
        </w:tc>
        <w:tc>
          <w:tcPr>
            <w:cnfStyle w:val="000100000000" w:firstRow="0" w:lastRow="0" w:firstColumn="0" w:lastColumn="1" w:oddVBand="0" w:evenVBand="0" w:oddHBand="0" w:evenHBand="0" w:firstRowFirstColumn="0" w:firstRowLastColumn="0" w:lastRowFirstColumn="0" w:lastRowLastColumn="0"/>
            <w:tcW w:w="835" w:type="pct"/>
            <w:shd w:val="clear" w:color="auto" w:fill="FFFFFF" w:themeFill="background1"/>
            <w:hideMark/>
          </w:tcPr>
          <w:p w14:paraId="3244B2E8" w14:textId="77777777" w:rsidR="00826D99" w:rsidRDefault="00826D99">
            <w:pPr>
              <w:pStyle w:val="TableParagraph"/>
              <w:ind w:left="-104" w:right="-104"/>
              <w:rPr>
                <w:rFonts w:asciiTheme="minorHAnsi" w:hAnsiTheme="minorHAnsi" w:cstheme="minorHAnsi"/>
                <w:b w:val="0"/>
                <w:bCs w:val="0"/>
                <w:sz w:val="20"/>
                <w:szCs w:val="20"/>
              </w:rPr>
            </w:pPr>
            <w:r>
              <w:rPr>
                <w:rFonts w:asciiTheme="minorHAnsi" w:hAnsiTheme="minorHAnsi" w:cstheme="minorHAnsi"/>
                <w:b w:val="0"/>
                <w:bCs w:val="0"/>
                <w:sz w:val="20"/>
                <w:szCs w:val="20"/>
              </w:rPr>
              <w:t>$1,312</w:t>
            </w:r>
          </w:p>
        </w:tc>
      </w:tr>
      <w:tr w:rsidR="00826D99" w14:paraId="408F919D" w14:textId="77777777" w:rsidTr="00826D99">
        <w:trPr>
          <w:trHeight w:hRule="exact" w:val="469"/>
        </w:trPr>
        <w:tc>
          <w:tcPr>
            <w:cnfStyle w:val="001000000000" w:firstRow="0" w:lastRow="0" w:firstColumn="1" w:lastColumn="0" w:oddVBand="0" w:evenVBand="0" w:oddHBand="0" w:evenHBand="0" w:firstRowFirstColumn="0" w:firstRowLastColumn="0" w:lastRowFirstColumn="0" w:lastRowLastColumn="0"/>
            <w:tcW w:w="801" w:type="pct"/>
            <w:shd w:val="clear" w:color="auto" w:fill="FFFFFF" w:themeFill="background1"/>
            <w:hideMark/>
          </w:tcPr>
          <w:p w14:paraId="0B39D2C8" w14:textId="77777777" w:rsidR="00826D99" w:rsidRDefault="00826D99">
            <w:pPr>
              <w:pStyle w:val="TableParagraph"/>
              <w:ind w:right="-90"/>
              <w:rPr>
                <w:rFonts w:asciiTheme="minorHAnsi" w:hAnsiTheme="minorHAnsi" w:cstheme="minorHAnsi"/>
                <w:b w:val="0"/>
                <w:bCs w:val="0"/>
                <w:sz w:val="20"/>
                <w:szCs w:val="20"/>
              </w:rPr>
            </w:pPr>
            <w:r>
              <w:rPr>
                <w:rFonts w:asciiTheme="minorHAnsi" w:hAnsiTheme="minorHAnsi" w:cstheme="minorHAnsi"/>
                <w:b w:val="0"/>
                <w:bCs w:val="0"/>
                <w:sz w:val="20"/>
                <w:szCs w:val="20"/>
              </w:rPr>
              <w:t>2BR</w:t>
            </w:r>
          </w:p>
        </w:tc>
        <w:tc>
          <w:tcPr>
            <w:cnfStyle w:val="000010000000" w:firstRow="0" w:lastRow="0" w:firstColumn="0" w:lastColumn="0" w:oddVBand="1" w:evenVBand="0" w:oddHBand="0" w:evenHBand="0" w:firstRowFirstColumn="0" w:firstRowLastColumn="0" w:lastRowFirstColumn="0" w:lastRowLastColumn="0"/>
            <w:tcW w:w="442" w:type="pct"/>
            <w:shd w:val="clear" w:color="auto" w:fill="FFFFFF" w:themeFill="background1"/>
            <w:hideMark/>
          </w:tcPr>
          <w:p w14:paraId="4457F1F0" w14:textId="77777777" w:rsidR="00826D99" w:rsidRDefault="00826D99">
            <w:pPr>
              <w:pStyle w:val="TableParagraph"/>
              <w:ind w:left="-119" w:right="-120"/>
              <w:rPr>
                <w:rFonts w:asciiTheme="minorHAnsi" w:hAnsiTheme="minorHAnsi" w:cstheme="minorHAnsi"/>
                <w:sz w:val="20"/>
                <w:szCs w:val="20"/>
              </w:rPr>
            </w:pPr>
            <w:r>
              <w:rPr>
                <w:rFonts w:asciiTheme="minorHAnsi" w:hAnsiTheme="minorHAnsi" w:cstheme="minorHAnsi"/>
                <w:sz w:val="20"/>
                <w:szCs w:val="20"/>
              </w:rPr>
              <w:t>5</w:t>
            </w:r>
          </w:p>
        </w:tc>
        <w:tc>
          <w:tcPr>
            <w:tcW w:w="993" w:type="pct"/>
            <w:shd w:val="clear" w:color="auto" w:fill="FFFFFF" w:themeFill="background1"/>
            <w:hideMark/>
          </w:tcPr>
          <w:p w14:paraId="7CE94F43" w14:textId="77777777" w:rsidR="00826D99" w:rsidRDefault="00826D99">
            <w:pPr>
              <w:pStyle w:val="TableParagraph"/>
              <w:ind w:right="-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S8-PBV-30%</w:t>
            </w:r>
          </w:p>
        </w:tc>
        <w:tc>
          <w:tcPr>
            <w:cnfStyle w:val="000010000000" w:firstRow="0" w:lastRow="0" w:firstColumn="0" w:lastColumn="0" w:oddVBand="1" w:evenVBand="0" w:oddHBand="0" w:evenHBand="0" w:firstRowFirstColumn="0" w:firstRowLastColumn="0" w:lastRowFirstColumn="0" w:lastRowLastColumn="0"/>
            <w:tcW w:w="937" w:type="pct"/>
            <w:shd w:val="clear" w:color="auto" w:fill="FFFFFF" w:themeFill="background1"/>
            <w:hideMark/>
          </w:tcPr>
          <w:p w14:paraId="1D92BDB2" w14:textId="77777777" w:rsidR="00826D99" w:rsidRDefault="00826D99">
            <w:pPr>
              <w:pStyle w:val="TableParagraph"/>
              <w:ind w:left="-149" w:right="-150"/>
              <w:rPr>
                <w:rFonts w:asciiTheme="minorHAnsi" w:hAnsiTheme="minorHAnsi" w:cstheme="minorHAnsi"/>
                <w:sz w:val="20"/>
                <w:szCs w:val="20"/>
              </w:rPr>
            </w:pPr>
            <w:r>
              <w:rPr>
                <w:rFonts w:asciiTheme="minorHAnsi" w:hAnsiTheme="minorHAnsi" w:cstheme="minorHAnsi"/>
                <w:sz w:val="20"/>
                <w:szCs w:val="20"/>
              </w:rPr>
              <w:t>2-4</w:t>
            </w:r>
          </w:p>
        </w:tc>
        <w:tc>
          <w:tcPr>
            <w:tcW w:w="992" w:type="pct"/>
            <w:shd w:val="clear" w:color="auto" w:fill="FFFFFF" w:themeFill="background1"/>
            <w:hideMark/>
          </w:tcPr>
          <w:p w14:paraId="21840EFD" w14:textId="77777777" w:rsidR="00826D99" w:rsidRDefault="00826D99">
            <w:pPr>
              <w:pStyle w:val="TableParagraph"/>
              <w:ind w:left="-104" w:right="-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$23,340-$29,160</w:t>
            </w:r>
          </w:p>
        </w:tc>
        <w:tc>
          <w:tcPr>
            <w:cnfStyle w:val="000100000000" w:firstRow="0" w:lastRow="0" w:firstColumn="0" w:lastColumn="1" w:oddVBand="0" w:evenVBand="0" w:oddHBand="0" w:evenHBand="0" w:firstRowFirstColumn="0" w:firstRowLastColumn="0" w:lastRowFirstColumn="0" w:lastRowLastColumn="0"/>
            <w:tcW w:w="835" w:type="pct"/>
            <w:shd w:val="clear" w:color="auto" w:fill="FFFFFF" w:themeFill="background1"/>
            <w:hideMark/>
          </w:tcPr>
          <w:p w14:paraId="623FB1A9" w14:textId="77777777" w:rsidR="00826D99" w:rsidRDefault="00826D99">
            <w:pPr>
              <w:pStyle w:val="TableParagraph"/>
              <w:ind w:left="-104" w:right="-104"/>
              <w:rPr>
                <w:rFonts w:asciiTheme="minorHAnsi" w:hAnsiTheme="minorHAnsi" w:cstheme="minorHAnsi"/>
                <w:b w:val="0"/>
                <w:bCs w:val="0"/>
                <w:sz w:val="20"/>
                <w:szCs w:val="20"/>
              </w:rPr>
            </w:pPr>
            <w:r>
              <w:rPr>
                <w:rFonts w:asciiTheme="minorHAnsi" w:hAnsiTheme="minorHAnsi" w:cstheme="minorHAnsi"/>
                <w:b w:val="0"/>
                <w:bCs w:val="0"/>
                <w:sz w:val="20"/>
                <w:szCs w:val="20"/>
              </w:rPr>
              <w:t>$656</w:t>
            </w:r>
          </w:p>
        </w:tc>
      </w:tr>
      <w:tr w:rsidR="00826D99" w14:paraId="21887857" w14:textId="77777777" w:rsidTr="00826D99">
        <w:trPr>
          <w:cnfStyle w:val="000000100000" w:firstRow="0" w:lastRow="0" w:firstColumn="0" w:lastColumn="0" w:oddVBand="0" w:evenVBand="0" w:oddHBand="1" w:evenHBand="0" w:firstRowFirstColumn="0" w:firstRowLastColumn="0" w:lastRowFirstColumn="0" w:lastRowLastColumn="0"/>
          <w:trHeight w:hRule="exact" w:val="685"/>
        </w:trPr>
        <w:tc>
          <w:tcPr>
            <w:cnfStyle w:val="001000000000" w:firstRow="0" w:lastRow="0" w:firstColumn="1" w:lastColumn="0" w:oddVBand="0" w:evenVBand="0" w:oddHBand="0" w:evenHBand="0" w:firstRowFirstColumn="0" w:firstRowLastColumn="0" w:lastRowFirstColumn="0" w:lastRowLastColumn="0"/>
            <w:tcW w:w="801" w:type="pct"/>
            <w:shd w:val="clear" w:color="auto" w:fill="FFFFFF" w:themeFill="background1"/>
            <w:hideMark/>
          </w:tcPr>
          <w:p w14:paraId="5ED1F91E" w14:textId="77777777" w:rsidR="00826D99" w:rsidRDefault="00826D99">
            <w:pPr>
              <w:pStyle w:val="TableParagraph"/>
              <w:ind w:right="-90"/>
              <w:rPr>
                <w:rFonts w:asciiTheme="minorHAnsi" w:hAnsiTheme="minorHAnsi" w:cstheme="minorHAnsi"/>
                <w:b w:val="0"/>
                <w:bCs w:val="0"/>
                <w:sz w:val="20"/>
                <w:szCs w:val="20"/>
              </w:rPr>
            </w:pPr>
            <w:r>
              <w:rPr>
                <w:rFonts w:asciiTheme="minorHAnsi" w:hAnsiTheme="minorHAnsi" w:cstheme="minorHAnsi"/>
                <w:b w:val="0"/>
                <w:bCs w:val="0"/>
                <w:sz w:val="20"/>
                <w:szCs w:val="20"/>
              </w:rPr>
              <w:t>2BR</w:t>
            </w:r>
          </w:p>
        </w:tc>
        <w:tc>
          <w:tcPr>
            <w:cnfStyle w:val="000010000000" w:firstRow="0" w:lastRow="0" w:firstColumn="0" w:lastColumn="0" w:oddVBand="1" w:evenVBand="0" w:oddHBand="0" w:evenHBand="0" w:firstRowFirstColumn="0" w:firstRowLastColumn="0" w:lastRowFirstColumn="0" w:lastRowLastColumn="0"/>
            <w:tcW w:w="442" w:type="pct"/>
            <w:shd w:val="clear" w:color="auto" w:fill="FFFFFF" w:themeFill="background1"/>
            <w:hideMark/>
          </w:tcPr>
          <w:p w14:paraId="384EDFDF" w14:textId="77777777" w:rsidR="00826D99" w:rsidRDefault="00826D99">
            <w:pPr>
              <w:pStyle w:val="TableParagraph"/>
              <w:ind w:left="-119" w:right="-120"/>
              <w:rPr>
                <w:rFonts w:asciiTheme="minorHAnsi" w:hAnsiTheme="minorHAnsi" w:cstheme="minorHAnsi"/>
                <w:sz w:val="20"/>
                <w:szCs w:val="20"/>
              </w:rPr>
            </w:pPr>
            <w:r>
              <w:rPr>
                <w:rFonts w:asciiTheme="minorHAnsi" w:hAnsiTheme="minorHAnsi" w:cstheme="minorHAnsi"/>
                <w:sz w:val="20"/>
                <w:szCs w:val="20"/>
              </w:rPr>
              <w:t>7</w:t>
            </w:r>
          </w:p>
        </w:tc>
        <w:tc>
          <w:tcPr>
            <w:tcW w:w="993" w:type="pct"/>
            <w:shd w:val="clear" w:color="auto" w:fill="FFFFFF" w:themeFill="background1"/>
            <w:hideMark/>
          </w:tcPr>
          <w:p w14:paraId="44EF3E09" w14:textId="77777777" w:rsidR="00826D99" w:rsidRDefault="00826D99">
            <w:pPr>
              <w:pStyle w:val="TableParagraph"/>
              <w:ind w:right="-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Workforce-80%</w:t>
            </w:r>
          </w:p>
        </w:tc>
        <w:tc>
          <w:tcPr>
            <w:cnfStyle w:val="000010000000" w:firstRow="0" w:lastRow="0" w:firstColumn="0" w:lastColumn="0" w:oddVBand="1" w:evenVBand="0" w:oddHBand="0" w:evenHBand="0" w:firstRowFirstColumn="0" w:firstRowLastColumn="0" w:lastRowFirstColumn="0" w:lastRowLastColumn="0"/>
            <w:tcW w:w="937" w:type="pct"/>
            <w:shd w:val="clear" w:color="auto" w:fill="FFFFFF" w:themeFill="background1"/>
            <w:hideMark/>
          </w:tcPr>
          <w:p w14:paraId="292BB8D0" w14:textId="77777777" w:rsidR="00826D99" w:rsidRDefault="00826D99">
            <w:pPr>
              <w:pStyle w:val="TableParagraph"/>
              <w:ind w:left="-149" w:right="-150"/>
              <w:rPr>
                <w:rFonts w:asciiTheme="minorHAnsi" w:hAnsiTheme="minorHAnsi" w:cstheme="minorHAnsi"/>
                <w:sz w:val="20"/>
                <w:szCs w:val="20"/>
              </w:rPr>
            </w:pPr>
            <w:r>
              <w:rPr>
                <w:rFonts w:asciiTheme="minorHAnsi" w:hAnsiTheme="minorHAnsi" w:cstheme="minorHAnsi"/>
                <w:sz w:val="20"/>
                <w:szCs w:val="20"/>
              </w:rPr>
              <w:t>2-4</w:t>
            </w:r>
          </w:p>
        </w:tc>
        <w:tc>
          <w:tcPr>
            <w:tcW w:w="992" w:type="pct"/>
            <w:shd w:val="clear" w:color="auto" w:fill="FFFFFF" w:themeFill="background1"/>
            <w:hideMark/>
          </w:tcPr>
          <w:p w14:paraId="0D5DB95D" w14:textId="77777777" w:rsidR="00826D99" w:rsidRDefault="00826D99">
            <w:pPr>
              <w:pStyle w:val="TableParagraph"/>
              <w:ind w:left="-104" w:right="-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$62,240-$77,760</w:t>
            </w:r>
          </w:p>
        </w:tc>
        <w:tc>
          <w:tcPr>
            <w:cnfStyle w:val="000100000000" w:firstRow="0" w:lastRow="0" w:firstColumn="0" w:lastColumn="1" w:oddVBand="0" w:evenVBand="0" w:oddHBand="0" w:evenHBand="0" w:firstRowFirstColumn="0" w:firstRowLastColumn="0" w:lastRowFirstColumn="0" w:lastRowLastColumn="0"/>
            <w:tcW w:w="835" w:type="pct"/>
            <w:shd w:val="clear" w:color="auto" w:fill="FFFFFF" w:themeFill="background1"/>
            <w:hideMark/>
          </w:tcPr>
          <w:p w14:paraId="5F9CE84B" w14:textId="77777777" w:rsidR="00826D99" w:rsidRDefault="00826D99">
            <w:pPr>
              <w:pStyle w:val="TableParagraph"/>
              <w:ind w:left="-104" w:right="-104"/>
              <w:rPr>
                <w:rFonts w:asciiTheme="minorHAnsi" w:hAnsiTheme="minorHAnsi" w:cstheme="minorHAnsi"/>
                <w:b w:val="0"/>
                <w:bCs w:val="0"/>
                <w:sz w:val="20"/>
                <w:szCs w:val="20"/>
              </w:rPr>
            </w:pPr>
            <w:r>
              <w:rPr>
                <w:rFonts w:asciiTheme="minorHAnsi" w:hAnsiTheme="minorHAnsi" w:cstheme="minorHAnsi"/>
                <w:b w:val="0"/>
                <w:bCs w:val="0"/>
                <w:sz w:val="20"/>
                <w:szCs w:val="20"/>
              </w:rPr>
              <w:t>$1,750</w:t>
            </w:r>
          </w:p>
        </w:tc>
      </w:tr>
      <w:tr w:rsidR="00826D99" w14:paraId="101A674D" w14:textId="77777777" w:rsidTr="00826D99">
        <w:trPr>
          <w:trHeight w:hRule="exact" w:val="469"/>
        </w:trPr>
        <w:tc>
          <w:tcPr>
            <w:cnfStyle w:val="001000000000" w:firstRow="0" w:lastRow="0" w:firstColumn="1" w:lastColumn="0" w:oddVBand="0" w:evenVBand="0" w:oddHBand="0" w:evenHBand="0" w:firstRowFirstColumn="0" w:firstRowLastColumn="0" w:lastRowFirstColumn="0" w:lastRowLastColumn="0"/>
            <w:tcW w:w="801" w:type="pct"/>
            <w:shd w:val="clear" w:color="auto" w:fill="FFFFFF" w:themeFill="background1"/>
            <w:hideMark/>
          </w:tcPr>
          <w:p w14:paraId="0B7D5516" w14:textId="77777777" w:rsidR="00826D99" w:rsidRDefault="00826D99">
            <w:pPr>
              <w:pStyle w:val="TableParagraph"/>
              <w:ind w:right="-90"/>
              <w:rPr>
                <w:rFonts w:asciiTheme="minorHAnsi" w:hAnsiTheme="minorHAnsi" w:cstheme="minorHAnsi"/>
                <w:b w:val="0"/>
                <w:bCs w:val="0"/>
                <w:sz w:val="20"/>
                <w:szCs w:val="20"/>
              </w:rPr>
            </w:pPr>
            <w:r>
              <w:rPr>
                <w:rFonts w:asciiTheme="minorHAnsi" w:hAnsiTheme="minorHAnsi" w:cstheme="minorHAnsi"/>
                <w:b w:val="0"/>
                <w:bCs w:val="0"/>
                <w:sz w:val="20"/>
                <w:szCs w:val="20"/>
              </w:rPr>
              <w:t>3BR</w:t>
            </w:r>
          </w:p>
        </w:tc>
        <w:tc>
          <w:tcPr>
            <w:cnfStyle w:val="000010000000" w:firstRow="0" w:lastRow="0" w:firstColumn="0" w:lastColumn="0" w:oddVBand="1" w:evenVBand="0" w:oddHBand="0" w:evenHBand="0" w:firstRowFirstColumn="0" w:firstRowLastColumn="0" w:lastRowFirstColumn="0" w:lastRowLastColumn="0"/>
            <w:tcW w:w="442" w:type="pct"/>
            <w:shd w:val="clear" w:color="auto" w:fill="FFFFFF" w:themeFill="background1"/>
            <w:hideMark/>
          </w:tcPr>
          <w:p w14:paraId="6235D84D" w14:textId="77777777" w:rsidR="00826D99" w:rsidRDefault="00826D99">
            <w:pPr>
              <w:pStyle w:val="TableParagraph"/>
              <w:ind w:left="-119" w:right="-120"/>
              <w:rPr>
                <w:rFonts w:asciiTheme="minorHAnsi" w:hAnsiTheme="minorHAnsi" w:cstheme="minorHAnsi"/>
                <w:sz w:val="20"/>
                <w:szCs w:val="20"/>
              </w:rPr>
            </w:pPr>
            <w:r>
              <w:rPr>
                <w:rFonts w:asciiTheme="minorHAnsi" w:hAnsiTheme="minorHAnsi" w:cstheme="minorHAnsi"/>
                <w:sz w:val="20"/>
                <w:szCs w:val="20"/>
              </w:rPr>
              <w:t>1</w:t>
            </w:r>
          </w:p>
        </w:tc>
        <w:tc>
          <w:tcPr>
            <w:tcW w:w="993" w:type="pct"/>
            <w:shd w:val="clear" w:color="auto" w:fill="FFFFFF" w:themeFill="background1"/>
            <w:hideMark/>
          </w:tcPr>
          <w:p w14:paraId="46B7DB5D" w14:textId="77777777" w:rsidR="00826D99" w:rsidRDefault="00826D99">
            <w:pPr>
              <w:pStyle w:val="TableParagraph"/>
              <w:ind w:right="-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LIHTC-60%</w:t>
            </w:r>
          </w:p>
        </w:tc>
        <w:tc>
          <w:tcPr>
            <w:cnfStyle w:val="000010000000" w:firstRow="0" w:lastRow="0" w:firstColumn="0" w:lastColumn="0" w:oddVBand="1" w:evenVBand="0" w:oddHBand="0" w:evenHBand="0" w:firstRowFirstColumn="0" w:firstRowLastColumn="0" w:lastRowFirstColumn="0" w:lastRowLastColumn="0"/>
            <w:tcW w:w="937" w:type="pct"/>
            <w:shd w:val="clear" w:color="auto" w:fill="FFFFFF" w:themeFill="background1"/>
            <w:hideMark/>
          </w:tcPr>
          <w:p w14:paraId="16674D03" w14:textId="77777777" w:rsidR="00826D99" w:rsidRDefault="00826D99">
            <w:pPr>
              <w:pStyle w:val="TableParagraph"/>
              <w:ind w:left="-149" w:right="-150"/>
              <w:rPr>
                <w:rFonts w:asciiTheme="minorHAnsi" w:hAnsiTheme="minorHAnsi" w:cstheme="minorHAnsi"/>
                <w:sz w:val="20"/>
                <w:szCs w:val="20"/>
              </w:rPr>
            </w:pPr>
            <w:r>
              <w:rPr>
                <w:rFonts w:asciiTheme="minorHAnsi" w:hAnsiTheme="minorHAnsi" w:cstheme="minorHAnsi"/>
                <w:sz w:val="20"/>
                <w:szCs w:val="20"/>
              </w:rPr>
              <w:t>3-6</w:t>
            </w:r>
          </w:p>
        </w:tc>
        <w:tc>
          <w:tcPr>
            <w:tcW w:w="992" w:type="pct"/>
            <w:shd w:val="clear" w:color="auto" w:fill="FFFFFF" w:themeFill="background1"/>
            <w:hideMark/>
          </w:tcPr>
          <w:p w14:paraId="140237D8" w14:textId="77777777" w:rsidR="00826D99" w:rsidRDefault="00826D99">
            <w:pPr>
              <w:pStyle w:val="TableParagraph"/>
              <w:ind w:left="-104" w:right="-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$52,500-$67,680</w:t>
            </w:r>
          </w:p>
        </w:tc>
        <w:tc>
          <w:tcPr>
            <w:cnfStyle w:val="000100000000" w:firstRow="0" w:lastRow="0" w:firstColumn="0" w:lastColumn="1" w:oddVBand="0" w:evenVBand="0" w:oddHBand="0" w:evenHBand="0" w:firstRowFirstColumn="0" w:firstRowLastColumn="0" w:lastRowFirstColumn="0" w:lastRowLastColumn="0"/>
            <w:tcW w:w="835" w:type="pct"/>
            <w:shd w:val="clear" w:color="auto" w:fill="FFFFFF" w:themeFill="background1"/>
            <w:hideMark/>
          </w:tcPr>
          <w:p w14:paraId="34252572" w14:textId="77777777" w:rsidR="00826D99" w:rsidRDefault="00826D99">
            <w:pPr>
              <w:pStyle w:val="TableParagraph"/>
              <w:ind w:left="-104" w:right="-104"/>
              <w:rPr>
                <w:rFonts w:asciiTheme="minorHAnsi" w:hAnsiTheme="minorHAnsi" w:cstheme="minorHAnsi"/>
                <w:b w:val="0"/>
                <w:bCs w:val="0"/>
                <w:sz w:val="20"/>
                <w:szCs w:val="20"/>
              </w:rPr>
            </w:pPr>
            <w:r>
              <w:rPr>
                <w:rFonts w:asciiTheme="minorHAnsi" w:hAnsiTheme="minorHAnsi" w:cstheme="minorHAnsi"/>
                <w:b w:val="0"/>
                <w:bCs w:val="0"/>
                <w:sz w:val="20"/>
                <w:szCs w:val="20"/>
              </w:rPr>
              <w:t>$1,516</w:t>
            </w:r>
          </w:p>
        </w:tc>
      </w:tr>
      <w:tr w:rsidR="00826D99" w14:paraId="690FA082" w14:textId="77777777" w:rsidTr="00826D99">
        <w:trPr>
          <w:cnfStyle w:val="000000100000" w:firstRow="0" w:lastRow="0" w:firstColumn="0" w:lastColumn="0" w:oddVBand="0" w:evenVBand="0" w:oddHBand="1" w:evenHBand="0" w:firstRowFirstColumn="0" w:firstRowLastColumn="0" w:lastRowFirstColumn="0" w:lastRowLastColumn="0"/>
          <w:trHeight w:hRule="exact" w:val="469"/>
        </w:trPr>
        <w:tc>
          <w:tcPr>
            <w:cnfStyle w:val="001000000000" w:firstRow="0" w:lastRow="0" w:firstColumn="1" w:lastColumn="0" w:oddVBand="0" w:evenVBand="0" w:oddHBand="0" w:evenHBand="0" w:firstRowFirstColumn="0" w:firstRowLastColumn="0" w:lastRowFirstColumn="0" w:lastRowLastColumn="0"/>
            <w:tcW w:w="801" w:type="pct"/>
            <w:shd w:val="clear" w:color="auto" w:fill="FFFFFF" w:themeFill="background1"/>
            <w:hideMark/>
          </w:tcPr>
          <w:p w14:paraId="5FF9A320" w14:textId="77777777" w:rsidR="00826D99" w:rsidRDefault="00826D99">
            <w:pPr>
              <w:pStyle w:val="TableParagraph"/>
              <w:ind w:right="-90"/>
              <w:rPr>
                <w:rFonts w:asciiTheme="minorHAnsi" w:hAnsiTheme="minorHAnsi" w:cstheme="minorHAnsi"/>
                <w:b w:val="0"/>
                <w:bCs w:val="0"/>
                <w:sz w:val="20"/>
                <w:szCs w:val="20"/>
              </w:rPr>
            </w:pPr>
            <w:r>
              <w:rPr>
                <w:rFonts w:asciiTheme="minorHAnsi" w:hAnsiTheme="minorHAnsi" w:cstheme="minorHAnsi"/>
                <w:b w:val="0"/>
                <w:bCs w:val="0"/>
                <w:sz w:val="20"/>
                <w:szCs w:val="20"/>
              </w:rPr>
              <w:t>3BR</w:t>
            </w:r>
          </w:p>
        </w:tc>
        <w:tc>
          <w:tcPr>
            <w:cnfStyle w:val="000010000000" w:firstRow="0" w:lastRow="0" w:firstColumn="0" w:lastColumn="0" w:oddVBand="1" w:evenVBand="0" w:oddHBand="0" w:evenHBand="0" w:firstRowFirstColumn="0" w:firstRowLastColumn="0" w:lastRowFirstColumn="0" w:lastRowLastColumn="0"/>
            <w:tcW w:w="442" w:type="pct"/>
            <w:shd w:val="clear" w:color="auto" w:fill="FFFFFF" w:themeFill="background1"/>
            <w:hideMark/>
          </w:tcPr>
          <w:p w14:paraId="06F3FEA3" w14:textId="77777777" w:rsidR="00826D99" w:rsidRDefault="00826D99">
            <w:pPr>
              <w:pStyle w:val="TableParagraph"/>
              <w:ind w:left="-119" w:right="-120"/>
              <w:rPr>
                <w:rFonts w:asciiTheme="minorHAnsi" w:hAnsiTheme="minorHAnsi" w:cstheme="minorHAnsi"/>
                <w:sz w:val="20"/>
                <w:szCs w:val="20"/>
              </w:rPr>
            </w:pPr>
            <w:r>
              <w:rPr>
                <w:rFonts w:asciiTheme="minorHAnsi" w:hAnsiTheme="minorHAnsi" w:cstheme="minorHAnsi"/>
                <w:sz w:val="20"/>
                <w:szCs w:val="20"/>
              </w:rPr>
              <w:t>3</w:t>
            </w:r>
          </w:p>
        </w:tc>
        <w:tc>
          <w:tcPr>
            <w:tcW w:w="993" w:type="pct"/>
            <w:shd w:val="clear" w:color="auto" w:fill="FFFFFF" w:themeFill="background1"/>
            <w:hideMark/>
          </w:tcPr>
          <w:p w14:paraId="597C57EE" w14:textId="77777777" w:rsidR="00826D99" w:rsidRDefault="00826D99">
            <w:pPr>
              <w:pStyle w:val="TableParagraph"/>
              <w:ind w:right="-1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S8-PBV-30%</w:t>
            </w:r>
          </w:p>
        </w:tc>
        <w:tc>
          <w:tcPr>
            <w:cnfStyle w:val="000010000000" w:firstRow="0" w:lastRow="0" w:firstColumn="0" w:lastColumn="0" w:oddVBand="1" w:evenVBand="0" w:oddHBand="0" w:evenHBand="0" w:firstRowFirstColumn="0" w:firstRowLastColumn="0" w:lastRowFirstColumn="0" w:lastRowLastColumn="0"/>
            <w:tcW w:w="937" w:type="pct"/>
            <w:shd w:val="clear" w:color="auto" w:fill="FFFFFF" w:themeFill="background1"/>
            <w:hideMark/>
          </w:tcPr>
          <w:p w14:paraId="12461F74" w14:textId="77777777" w:rsidR="00826D99" w:rsidRDefault="00826D99">
            <w:pPr>
              <w:pStyle w:val="TableParagraph"/>
              <w:ind w:left="-149" w:right="-150"/>
              <w:rPr>
                <w:rFonts w:asciiTheme="minorHAnsi" w:hAnsiTheme="minorHAnsi" w:cstheme="minorHAnsi"/>
                <w:sz w:val="20"/>
                <w:szCs w:val="20"/>
              </w:rPr>
            </w:pPr>
            <w:r>
              <w:rPr>
                <w:rFonts w:asciiTheme="minorHAnsi" w:hAnsiTheme="minorHAnsi" w:cstheme="minorHAnsi"/>
                <w:sz w:val="20"/>
                <w:szCs w:val="20"/>
              </w:rPr>
              <w:t>3-6</w:t>
            </w:r>
          </w:p>
        </w:tc>
        <w:tc>
          <w:tcPr>
            <w:tcW w:w="992" w:type="pct"/>
            <w:shd w:val="clear" w:color="auto" w:fill="FFFFFF" w:themeFill="background1"/>
            <w:hideMark/>
          </w:tcPr>
          <w:p w14:paraId="27315E63" w14:textId="77777777" w:rsidR="00826D99" w:rsidRDefault="00826D99">
            <w:pPr>
              <w:pStyle w:val="TableParagraph"/>
              <w:ind w:left="-104" w:right="-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$26,250-$33,840</w:t>
            </w:r>
          </w:p>
        </w:tc>
        <w:tc>
          <w:tcPr>
            <w:cnfStyle w:val="000100000000" w:firstRow="0" w:lastRow="0" w:firstColumn="0" w:lastColumn="1" w:oddVBand="0" w:evenVBand="0" w:oddHBand="0" w:evenHBand="0" w:firstRowFirstColumn="0" w:firstRowLastColumn="0" w:lastRowFirstColumn="0" w:lastRowLastColumn="0"/>
            <w:tcW w:w="835" w:type="pct"/>
            <w:shd w:val="clear" w:color="auto" w:fill="FFFFFF" w:themeFill="background1"/>
            <w:hideMark/>
          </w:tcPr>
          <w:p w14:paraId="2BFECD1D" w14:textId="77777777" w:rsidR="00826D99" w:rsidRDefault="00826D99">
            <w:pPr>
              <w:pStyle w:val="TableParagraph"/>
              <w:ind w:left="-104" w:right="-104"/>
              <w:rPr>
                <w:rFonts w:asciiTheme="minorHAnsi" w:hAnsiTheme="minorHAnsi" w:cstheme="minorHAnsi"/>
                <w:b w:val="0"/>
                <w:bCs w:val="0"/>
                <w:sz w:val="20"/>
                <w:szCs w:val="20"/>
              </w:rPr>
            </w:pPr>
            <w:r>
              <w:rPr>
                <w:rFonts w:asciiTheme="minorHAnsi" w:hAnsiTheme="minorHAnsi" w:cstheme="minorHAnsi"/>
                <w:b w:val="0"/>
                <w:bCs w:val="0"/>
                <w:sz w:val="20"/>
                <w:szCs w:val="20"/>
              </w:rPr>
              <w:t>$758</w:t>
            </w:r>
          </w:p>
        </w:tc>
      </w:tr>
      <w:tr w:rsidR="00826D99" w14:paraId="5DAD62CD" w14:textId="77777777" w:rsidTr="00826D99">
        <w:trPr>
          <w:trHeight w:hRule="exact" w:val="599"/>
        </w:trPr>
        <w:tc>
          <w:tcPr>
            <w:cnfStyle w:val="001000000000" w:firstRow="0" w:lastRow="0" w:firstColumn="1" w:lastColumn="0" w:oddVBand="0" w:evenVBand="0" w:oddHBand="0" w:evenHBand="0" w:firstRowFirstColumn="0" w:firstRowLastColumn="0" w:lastRowFirstColumn="0" w:lastRowLastColumn="0"/>
            <w:tcW w:w="801" w:type="pct"/>
            <w:tcBorders>
              <w:bottom w:val="single" w:sz="4" w:space="0" w:color="auto"/>
            </w:tcBorders>
            <w:shd w:val="clear" w:color="auto" w:fill="FFFFFF" w:themeFill="background1"/>
            <w:hideMark/>
          </w:tcPr>
          <w:p w14:paraId="178D864D" w14:textId="77777777" w:rsidR="00826D99" w:rsidRDefault="00826D99">
            <w:pPr>
              <w:pStyle w:val="TableParagraph"/>
              <w:spacing w:before="149"/>
              <w:ind w:right="-90"/>
              <w:rPr>
                <w:rFonts w:asciiTheme="minorHAnsi" w:hAnsiTheme="minorHAnsi" w:cstheme="minorHAnsi"/>
                <w:b w:val="0"/>
                <w:bCs w:val="0"/>
                <w:sz w:val="20"/>
                <w:szCs w:val="20"/>
              </w:rPr>
            </w:pPr>
            <w:r>
              <w:rPr>
                <w:rFonts w:asciiTheme="minorHAnsi" w:hAnsiTheme="minorHAnsi" w:cstheme="minorHAnsi"/>
                <w:b w:val="0"/>
                <w:bCs w:val="0"/>
                <w:sz w:val="20"/>
                <w:szCs w:val="20"/>
              </w:rPr>
              <w:t>3BR</w:t>
            </w:r>
          </w:p>
        </w:tc>
        <w:tc>
          <w:tcPr>
            <w:cnfStyle w:val="000010000000" w:firstRow="0" w:lastRow="0" w:firstColumn="0" w:lastColumn="0" w:oddVBand="1" w:evenVBand="0" w:oddHBand="0" w:evenHBand="0" w:firstRowFirstColumn="0" w:firstRowLastColumn="0" w:lastRowFirstColumn="0" w:lastRowLastColumn="0"/>
            <w:tcW w:w="442" w:type="pct"/>
            <w:tcBorders>
              <w:bottom w:val="single" w:sz="4" w:space="0" w:color="auto"/>
            </w:tcBorders>
            <w:shd w:val="clear" w:color="auto" w:fill="FFFFFF" w:themeFill="background1"/>
            <w:hideMark/>
          </w:tcPr>
          <w:p w14:paraId="2B66011B" w14:textId="77777777" w:rsidR="00826D99" w:rsidRDefault="00826D99">
            <w:pPr>
              <w:pStyle w:val="TableParagraph"/>
              <w:spacing w:before="149"/>
              <w:ind w:left="-119" w:right="-120"/>
              <w:rPr>
                <w:rFonts w:asciiTheme="minorHAnsi" w:hAnsiTheme="minorHAnsi" w:cstheme="minorHAnsi"/>
                <w:sz w:val="20"/>
                <w:szCs w:val="20"/>
              </w:rPr>
            </w:pPr>
            <w:r>
              <w:rPr>
                <w:rFonts w:asciiTheme="minorHAnsi" w:hAnsiTheme="minorHAnsi" w:cstheme="minorHAnsi"/>
                <w:sz w:val="20"/>
                <w:szCs w:val="20"/>
              </w:rPr>
              <w:t>1</w:t>
            </w:r>
          </w:p>
        </w:tc>
        <w:tc>
          <w:tcPr>
            <w:tcW w:w="993" w:type="pct"/>
            <w:tcBorders>
              <w:bottom w:val="single" w:sz="4" w:space="0" w:color="auto"/>
            </w:tcBorders>
            <w:shd w:val="clear" w:color="auto" w:fill="FFFFFF" w:themeFill="background1"/>
            <w:hideMark/>
          </w:tcPr>
          <w:p w14:paraId="03452714" w14:textId="77777777" w:rsidR="00826D99" w:rsidRDefault="00826D99">
            <w:pPr>
              <w:pStyle w:val="TableParagraph"/>
              <w:spacing w:before="149"/>
              <w:ind w:right="-1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Workforce-80%</w:t>
            </w:r>
          </w:p>
        </w:tc>
        <w:tc>
          <w:tcPr>
            <w:cnfStyle w:val="000010000000" w:firstRow="0" w:lastRow="0" w:firstColumn="0" w:lastColumn="0" w:oddVBand="1" w:evenVBand="0" w:oddHBand="0" w:evenHBand="0" w:firstRowFirstColumn="0" w:firstRowLastColumn="0" w:lastRowFirstColumn="0" w:lastRowLastColumn="0"/>
            <w:tcW w:w="937" w:type="pct"/>
            <w:tcBorders>
              <w:bottom w:val="single" w:sz="4" w:space="0" w:color="auto"/>
            </w:tcBorders>
            <w:shd w:val="clear" w:color="auto" w:fill="FFFFFF" w:themeFill="background1"/>
            <w:hideMark/>
          </w:tcPr>
          <w:p w14:paraId="0EF8DB92" w14:textId="77777777" w:rsidR="00826D99" w:rsidRDefault="00826D99">
            <w:pPr>
              <w:pStyle w:val="TableParagraph"/>
              <w:spacing w:before="149"/>
              <w:ind w:left="-149" w:right="-150"/>
              <w:rPr>
                <w:rFonts w:asciiTheme="minorHAnsi" w:hAnsiTheme="minorHAnsi" w:cstheme="minorHAnsi"/>
                <w:sz w:val="20"/>
                <w:szCs w:val="20"/>
              </w:rPr>
            </w:pPr>
            <w:r>
              <w:rPr>
                <w:rFonts w:asciiTheme="minorHAnsi" w:hAnsiTheme="minorHAnsi" w:cstheme="minorHAnsi"/>
                <w:sz w:val="20"/>
                <w:szCs w:val="20"/>
              </w:rPr>
              <w:t>3-6</w:t>
            </w:r>
          </w:p>
        </w:tc>
        <w:tc>
          <w:tcPr>
            <w:tcW w:w="992" w:type="pct"/>
            <w:tcBorders>
              <w:bottom w:val="single" w:sz="4" w:space="0" w:color="auto"/>
            </w:tcBorders>
            <w:shd w:val="clear" w:color="auto" w:fill="FFFFFF" w:themeFill="background1"/>
            <w:hideMark/>
          </w:tcPr>
          <w:p w14:paraId="7C0C3772" w14:textId="77777777" w:rsidR="00826D99" w:rsidRDefault="00826D99">
            <w:pPr>
              <w:pStyle w:val="TableParagraph"/>
              <w:spacing w:before="149"/>
              <w:ind w:left="-104" w:right="-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$70,000-$90,240</w:t>
            </w:r>
          </w:p>
        </w:tc>
        <w:tc>
          <w:tcPr>
            <w:cnfStyle w:val="000100000000" w:firstRow="0" w:lastRow="0" w:firstColumn="0" w:lastColumn="1" w:oddVBand="0" w:evenVBand="0" w:oddHBand="0" w:evenHBand="0" w:firstRowFirstColumn="0" w:firstRowLastColumn="0" w:lastRowFirstColumn="0" w:lastRowLastColumn="0"/>
            <w:tcW w:w="835" w:type="pct"/>
            <w:tcBorders>
              <w:bottom w:val="single" w:sz="4" w:space="0" w:color="auto"/>
            </w:tcBorders>
            <w:shd w:val="clear" w:color="auto" w:fill="FFFFFF" w:themeFill="background1"/>
            <w:hideMark/>
          </w:tcPr>
          <w:p w14:paraId="7BB80539" w14:textId="77777777" w:rsidR="00826D99" w:rsidRDefault="00826D99">
            <w:pPr>
              <w:pStyle w:val="TableParagraph"/>
              <w:spacing w:before="149"/>
              <w:ind w:left="-104" w:right="-104"/>
              <w:rPr>
                <w:rFonts w:asciiTheme="minorHAnsi" w:hAnsiTheme="minorHAnsi" w:cstheme="minorHAnsi"/>
                <w:b w:val="0"/>
                <w:bCs w:val="0"/>
                <w:sz w:val="20"/>
                <w:szCs w:val="20"/>
              </w:rPr>
            </w:pPr>
            <w:r>
              <w:rPr>
                <w:rFonts w:asciiTheme="minorHAnsi" w:hAnsiTheme="minorHAnsi" w:cstheme="minorHAnsi"/>
                <w:b w:val="0"/>
                <w:bCs w:val="0"/>
                <w:sz w:val="20"/>
                <w:szCs w:val="20"/>
              </w:rPr>
              <w:t>$2,022</w:t>
            </w:r>
          </w:p>
        </w:tc>
      </w:tr>
      <w:tr w:rsidR="00826D99" w14:paraId="42BC8399" w14:textId="77777777" w:rsidTr="000A5FDC">
        <w:trPr>
          <w:cnfStyle w:val="010000000000" w:firstRow="0" w:lastRow="1" w:firstColumn="0" w:lastColumn="0" w:oddVBand="0" w:evenVBand="0" w:oddHBand="0" w:evenHBand="0" w:firstRowFirstColumn="0" w:firstRowLastColumn="0" w:lastRowFirstColumn="0" w:lastRowLastColumn="0"/>
          <w:trHeight w:hRule="exact" w:val="603"/>
        </w:trPr>
        <w:tc>
          <w:tcPr>
            <w:cnfStyle w:val="001000000000" w:firstRow="0" w:lastRow="0" w:firstColumn="1" w:lastColumn="0" w:oddVBand="0" w:evenVBand="0" w:oddHBand="0" w:evenHBand="0" w:firstRowFirstColumn="0" w:firstRowLastColumn="0" w:lastRowFirstColumn="0" w:lastRowLastColumn="0"/>
            <w:tcW w:w="801" w:type="pct"/>
            <w:tcBorders>
              <w:top w:val="single" w:sz="4" w:space="0" w:color="auto"/>
              <w:bottom w:val="single" w:sz="4" w:space="0" w:color="auto"/>
              <w:right w:val="single" w:sz="4" w:space="0" w:color="auto"/>
            </w:tcBorders>
            <w:vAlign w:val="center"/>
            <w:hideMark/>
          </w:tcPr>
          <w:p w14:paraId="5FB43F7E" w14:textId="4C3ADF19" w:rsidR="00826D99" w:rsidRDefault="00826D99" w:rsidP="000A5FDC">
            <w:pPr>
              <w:pStyle w:val="TableParagraph"/>
              <w:spacing w:before="149"/>
              <w:ind w:right="621"/>
              <w:rPr>
                <w:rFonts w:asciiTheme="minorHAnsi" w:hAnsiTheme="minorHAnsi" w:cstheme="minorHAnsi"/>
                <w:b w:val="0"/>
                <w:sz w:val="20"/>
                <w:szCs w:val="20"/>
              </w:rPr>
            </w:pPr>
            <w:r>
              <w:rPr>
                <w:rFonts w:asciiTheme="minorHAnsi" w:hAnsiTheme="minorHAnsi" w:cstheme="minorHAnsi"/>
                <w:b w:val="0"/>
                <w:sz w:val="20"/>
                <w:szCs w:val="20"/>
              </w:rPr>
              <w:t>Total</w:t>
            </w:r>
          </w:p>
        </w:tc>
        <w:tc>
          <w:tcPr>
            <w:cnfStyle w:val="000010000000" w:firstRow="0" w:lastRow="0" w:firstColumn="0" w:lastColumn="0" w:oddVBand="1" w:evenVBand="0" w:oddHBand="0" w:evenHBand="0" w:firstRowFirstColumn="0" w:firstRowLastColumn="0" w:lastRowFirstColumn="0" w:lastRowLastColumn="0"/>
            <w:tcW w:w="442" w:type="pct"/>
            <w:tcBorders>
              <w:top w:val="single" w:sz="4" w:space="0" w:color="auto"/>
              <w:left w:val="single" w:sz="4" w:space="0" w:color="auto"/>
              <w:bottom w:val="single" w:sz="4" w:space="0" w:color="auto"/>
              <w:right w:val="single" w:sz="4" w:space="0" w:color="auto"/>
            </w:tcBorders>
            <w:hideMark/>
          </w:tcPr>
          <w:p w14:paraId="20F4A9A1" w14:textId="77777777" w:rsidR="00826D99" w:rsidRDefault="00826D99">
            <w:pPr>
              <w:pStyle w:val="TableParagraph"/>
              <w:spacing w:before="149"/>
              <w:ind w:left="-119" w:right="-120"/>
              <w:rPr>
                <w:rFonts w:asciiTheme="minorHAnsi" w:hAnsiTheme="minorHAnsi" w:cstheme="minorHAnsi"/>
                <w:b w:val="0"/>
                <w:sz w:val="20"/>
                <w:szCs w:val="20"/>
              </w:rPr>
            </w:pPr>
            <w:r>
              <w:rPr>
                <w:rFonts w:asciiTheme="minorHAnsi" w:hAnsiTheme="minorHAnsi" w:cstheme="minorHAnsi"/>
                <w:sz w:val="20"/>
                <w:szCs w:val="20"/>
              </w:rPr>
              <w:t>51</w:t>
            </w:r>
          </w:p>
        </w:tc>
        <w:tc>
          <w:tcPr>
            <w:tcW w:w="993" w:type="pct"/>
            <w:tcBorders>
              <w:top w:val="single" w:sz="4" w:space="0" w:color="auto"/>
              <w:left w:val="single" w:sz="4" w:space="0" w:color="auto"/>
              <w:bottom w:val="single" w:sz="4" w:space="0" w:color="auto"/>
              <w:right w:val="single" w:sz="4" w:space="0" w:color="auto"/>
            </w:tcBorders>
          </w:tcPr>
          <w:p w14:paraId="651C4BB2" w14:textId="77777777" w:rsidR="00826D99" w:rsidRDefault="00826D99">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937" w:type="pct"/>
            <w:tcBorders>
              <w:top w:val="single" w:sz="4" w:space="0" w:color="auto"/>
              <w:left w:val="single" w:sz="4" w:space="0" w:color="auto"/>
              <w:bottom w:val="single" w:sz="4" w:space="0" w:color="auto"/>
              <w:right w:val="single" w:sz="4" w:space="0" w:color="auto"/>
            </w:tcBorders>
          </w:tcPr>
          <w:p w14:paraId="0990CD13" w14:textId="77777777" w:rsidR="00826D99" w:rsidRDefault="00826D99">
            <w:pPr>
              <w:ind w:right="-150"/>
              <w:jc w:val="center"/>
              <w:rPr>
                <w:rFonts w:asciiTheme="minorHAnsi" w:hAnsiTheme="minorHAnsi" w:cstheme="minorHAnsi"/>
                <w:sz w:val="20"/>
                <w:szCs w:val="20"/>
              </w:rPr>
            </w:pPr>
          </w:p>
        </w:tc>
        <w:tc>
          <w:tcPr>
            <w:tcW w:w="992" w:type="pct"/>
            <w:tcBorders>
              <w:top w:val="single" w:sz="4" w:space="0" w:color="auto"/>
              <w:left w:val="single" w:sz="4" w:space="0" w:color="auto"/>
              <w:bottom w:val="single" w:sz="4" w:space="0" w:color="auto"/>
              <w:right w:val="single" w:sz="4" w:space="0" w:color="auto"/>
            </w:tcBorders>
          </w:tcPr>
          <w:p w14:paraId="13180A7A" w14:textId="77777777" w:rsidR="00826D99" w:rsidRDefault="00826D99">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auto"/>
              <w:left w:val="single" w:sz="4" w:space="0" w:color="auto"/>
              <w:bottom w:val="single" w:sz="4" w:space="0" w:color="auto"/>
            </w:tcBorders>
          </w:tcPr>
          <w:p w14:paraId="1C56A31E" w14:textId="77777777" w:rsidR="00826D99" w:rsidRDefault="00826D99">
            <w:pPr>
              <w:jc w:val="center"/>
              <w:rPr>
                <w:rFonts w:asciiTheme="minorHAnsi" w:hAnsiTheme="minorHAnsi" w:cstheme="minorHAnsi"/>
                <w:sz w:val="20"/>
                <w:szCs w:val="20"/>
              </w:rPr>
            </w:pPr>
          </w:p>
        </w:tc>
      </w:tr>
    </w:tbl>
    <w:p w14:paraId="55116C48" w14:textId="77777777" w:rsidR="00826D99" w:rsidRDefault="00826D99" w:rsidP="00826D99">
      <w:pPr>
        <w:pStyle w:val="BodyText"/>
        <w:ind w:left="720" w:right="750"/>
        <w:rPr>
          <w:rFonts w:ascii="Calibri" w:eastAsia="Calibri" w:hAnsi="Calibri" w:cs="Calibri"/>
          <w:sz w:val="16"/>
          <w:szCs w:val="16"/>
        </w:rPr>
      </w:pPr>
      <w:r>
        <w:rPr>
          <w:sz w:val="16"/>
          <w:szCs w:val="16"/>
        </w:rPr>
        <w:t xml:space="preserve">2021 Income and Rent Limits for Barnstable County </w:t>
      </w:r>
    </w:p>
    <w:p w14:paraId="1873EEFC" w14:textId="77777777" w:rsidR="00826D99" w:rsidRDefault="00826D99" w:rsidP="00826D99">
      <w:pPr>
        <w:pStyle w:val="BodyText"/>
        <w:ind w:left="720" w:right="750"/>
        <w:rPr>
          <w:sz w:val="16"/>
          <w:szCs w:val="16"/>
        </w:rPr>
      </w:pPr>
      <w:r>
        <w:rPr>
          <w:sz w:val="16"/>
          <w:szCs w:val="16"/>
        </w:rPr>
        <w:t>Source: novoco.com</w:t>
      </w:r>
    </w:p>
    <w:p w14:paraId="78D4DA7A" w14:textId="77777777" w:rsidR="00826D99" w:rsidRPr="00826D99" w:rsidRDefault="00826D99" w:rsidP="00826D99"/>
    <w:p w14:paraId="1685CF49" w14:textId="4951C998" w:rsidR="00826D99" w:rsidRPr="00826D99" w:rsidRDefault="00826D99" w:rsidP="00826D99">
      <w:pPr>
        <w:keepNext/>
        <w:spacing w:after="120"/>
        <w:rPr>
          <w:i/>
          <w:iCs/>
          <w:color w:val="365F91"/>
          <w:u w:val="single"/>
        </w:rPr>
      </w:pPr>
      <w:r w:rsidRPr="00826D99">
        <w:rPr>
          <w:i/>
          <w:iCs/>
          <w:color w:val="365F91"/>
          <w:u w:val="single"/>
        </w:rPr>
        <w:t>Zoning Board of Appeals, May2021</w:t>
      </w:r>
    </w:p>
    <w:p w14:paraId="51C9CDEF" w14:textId="3C215551" w:rsidR="00302113" w:rsidRDefault="007A75D2" w:rsidP="00FC4850">
      <w:pPr>
        <w:pStyle w:val="Heading2"/>
      </w:pPr>
      <w:bookmarkStart w:id="12" w:name="_Toc71740824"/>
      <w:r>
        <w:t>Traffic Flow, parking, loading</w:t>
      </w:r>
      <w:r w:rsidR="003C0D26">
        <w:t>,</w:t>
      </w:r>
      <w:r>
        <w:t xml:space="preserve"> and circulation</w:t>
      </w:r>
      <w:bookmarkEnd w:id="12"/>
    </w:p>
    <w:p w14:paraId="4444EDDA" w14:textId="77777777" w:rsidR="007F5A9B" w:rsidRDefault="00FB7C85" w:rsidP="00886A7F">
      <w:r w:rsidRPr="000C400A">
        <w:t xml:space="preserve">Site circulation </w:t>
      </w:r>
      <w:r w:rsidR="00DC674C" w:rsidRPr="000C400A">
        <w:t xml:space="preserve">is designed to provide safe and efficient access. </w:t>
      </w:r>
      <w:r w:rsidR="00BE3A01" w:rsidRPr="000C400A">
        <w:t>Access</w:t>
      </w:r>
      <w:r w:rsidR="0082094D" w:rsidRPr="000C400A">
        <w:t xml:space="preserve"> from </w:t>
      </w:r>
      <w:r w:rsidR="00886A7F" w:rsidRPr="000C400A">
        <w:t>Meetinghouse Lane</w:t>
      </w:r>
      <w:r w:rsidR="0082094D" w:rsidRPr="000C400A">
        <w:t xml:space="preserve"> and</w:t>
      </w:r>
      <w:r w:rsidR="00DC674C" w:rsidRPr="000C400A">
        <w:t xml:space="preserve"> vehicular and pedestrian circulation throughout the</w:t>
      </w:r>
      <w:r w:rsidR="00BE3A01" w:rsidRPr="000C400A">
        <w:t xml:space="preserve"> site </w:t>
      </w:r>
      <w:r w:rsidR="0082094D" w:rsidRPr="000C400A">
        <w:t>is</w:t>
      </w:r>
      <w:r w:rsidR="00BE3A01" w:rsidRPr="000C400A">
        <w:t xml:space="preserve"> provided by </w:t>
      </w:r>
      <w:r w:rsidR="00886A7F" w:rsidRPr="000C400A">
        <w:t>one access drive</w:t>
      </w:r>
      <w:r w:rsidR="00BE3A01" w:rsidRPr="000C400A">
        <w:t xml:space="preserve">. </w:t>
      </w:r>
      <w:r w:rsidR="00886A7F" w:rsidRPr="000C400A">
        <w:t>The proposed</w:t>
      </w:r>
      <w:r w:rsidR="00886A7F" w:rsidRPr="00886A7F">
        <w:t xml:space="preserve"> </w:t>
      </w:r>
      <w:r w:rsidR="00886A7F">
        <w:t>access drive</w:t>
      </w:r>
      <w:r w:rsidR="00886A7F" w:rsidRPr="00886A7F">
        <w:t xml:space="preserve"> allow</w:t>
      </w:r>
      <w:r w:rsidR="00886A7F">
        <w:t>s</w:t>
      </w:r>
      <w:r w:rsidR="00886A7F" w:rsidRPr="00886A7F">
        <w:t xml:space="preserve"> for two-way traffic at 24-feet wide </w:t>
      </w:r>
      <w:r w:rsidR="000C400A">
        <w:t xml:space="preserve">up through the second parking lot and then to one-way traffic at 12-feet wide </w:t>
      </w:r>
      <w:r w:rsidR="00886A7F" w:rsidRPr="00886A7F">
        <w:t>and designed to accommodate the turning and maneuvering requirements of the largest anticipated responding emergency vehicle per the Bourne Fire Department.</w:t>
      </w:r>
    </w:p>
    <w:p w14:paraId="5DA11EB5" w14:textId="4F3D8E0E" w:rsidR="007F5A9B" w:rsidRDefault="007F5A9B" w:rsidP="00886A7F">
      <w:r>
        <w:t xml:space="preserve">A drop off area near the building has been created and </w:t>
      </w:r>
      <w:r w:rsidR="00942D66">
        <w:t xml:space="preserve">is </w:t>
      </w:r>
      <w:r>
        <w:t>shown on the plans.</w:t>
      </w:r>
      <w:r w:rsidR="00886A7F" w:rsidRPr="00886A7F">
        <w:t xml:space="preserve"> </w:t>
      </w:r>
    </w:p>
    <w:p w14:paraId="2B3C1B8C" w14:textId="29313A03" w:rsidR="001E5D34" w:rsidRPr="00886A7F" w:rsidRDefault="000C400A" w:rsidP="0034337E">
      <w:r>
        <w:lastRenderedPageBreak/>
        <w:t>Both parking lots have 24-feet wide drive aisles.</w:t>
      </w:r>
      <w:r w:rsidR="007F5A9B">
        <w:t xml:space="preserve">  </w:t>
      </w:r>
      <w:r w:rsidR="001E5D34" w:rsidRPr="00886A7F">
        <w:t>A total of 8</w:t>
      </w:r>
      <w:r w:rsidR="0082094D" w:rsidRPr="00886A7F">
        <w:t>5</w:t>
      </w:r>
      <w:r w:rsidR="001E5D34" w:rsidRPr="00886A7F">
        <w:t xml:space="preserve"> spaces</w:t>
      </w:r>
      <w:r w:rsidR="00886A7F" w:rsidRPr="00886A7F">
        <w:t xml:space="preserve"> </w:t>
      </w:r>
      <w:r w:rsidR="006466CC" w:rsidRPr="00886A7F">
        <w:t>are provided</w:t>
      </w:r>
      <w:r w:rsidR="001E5D34" w:rsidRPr="00886A7F">
        <w:t xml:space="preserve"> in </w:t>
      </w:r>
      <w:r w:rsidR="00246974" w:rsidRPr="00886A7F">
        <w:t>t</w:t>
      </w:r>
      <w:r w:rsidR="00886A7F" w:rsidRPr="00886A7F">
        <w:t>wo</w:t>
      </w:r>
      <w:r w:rsidR="00246974" w:rsidRPr="00886A7F">
        <w:t xml:space="preserve"> </w:t>
      </w:r>
      <w:r w:rsidR="001E5D34" w:rsidRPr="00886A7F">
        <w:t>parking lots (</w:t>
      </w:r>
      <w:r w:rsidR="00886A7F" w:rsidRPr="00886A7F">
        <w:t>69</w:t>
      </w:r>
      <w:r w:rsidR="001E5D34" w:rsidRPr="00886A7F">
        <w:t xml:space="preserve"> spaces) and on- street parking </w:t>
      </w:r>
      <w:r w:rsidR="00062BB6" w:rsidRPr="00886A7F">
        <w:t>(1</w:t>
      </w:r>
      <w:r w:rsidR="00886A7F" w:rsidRPr="00886A7F">
        <w:t xml:space="preserve">6 </w:t>
      </w:r>
      <w:r w:rsidR="00062BB6" w:rsidRPr="00886A7F">
        <w:t xml:space="preserve">spaces) </w:t>
      </w:r>
      <w:r w:rsidR="001E5D34" w:rsidRPr="00886A7F">
        <w:t>along the</w:t>
      </w:r>
      <w:r w:rsidR="00062BB6" w:rsidRPr="00886A7F">
        <w:t xml:space="preserve"> </w:t>
      </w:r>
      <w:r w:rsidR="00886A7F">
        <w:t>access drive</w:t>
      </w:r>
      <w:r w:rsidR="00886A7F" w:rsidRPr="00886A7F">
        <w:t xml:space="preserve"> </w:t>
      </w:r>
      <w:r w:rsidR="001E5D34" w:rsidRPr="00886A7F">
        <w:t>to create a well-defined, pedestrian-friendly streetscape</w:t>
      </w:r>
      <w:r w:rsidR="001E44D8" w:rsidRPr="00886A7F">
        <w:t xml:space="preserve">. </w:t>
      </w:r>
      <w:r w:rsidR="00A47767" w:rsidRPr="00886A7F">
        <w:t>The location, configuration and design of the off-street parking spaces are shown on the attached plans.</w:t>
      </w:r>
      <w:r w:rsidR="00F82038">
        <w:t xml:space="preserve"> Based on other affordable housing developments by POAH/HAC, the proposed parking ratio of 1.2 is appropriate for this proposed development. </w:t>
      </w:r>
    </w:p>
    <w:p w14:paraId="667DAAB2" w14:textId="10EE3E35" w:rsidR="00E35A13" w:rsidRDefault="00E35A13" w:rsidP="0034337E">
      <w:r w:rsidRPr="00886A7F">
        <w:t xml:space="preserve">Sidewalks are provided along the </w:t>
      </w:r>
      <w:r w:rsidR="00886A7F">
        <w:t xml:space="preserve">access </w:t>
      </w:r>
      <w:r w:rsidR="00E77D1B">
        <w:t>drive and</w:t>
      </w:r>
      <w:r w:rsidRPr="00886A7F">
        <w:t xml:space="preserve"> connect to the existing sidewalk</w:t>
      </w:r>
      <w:r w:rsidR="0082094D" w:rsidRPr="00886A7F">
        <w:t>s</w:t>
      </w:r>
      <w:r w:rsidRPr="00886A7F">
        <w:t xml:space="preserve"> along </w:t>
      </w:r>
      <w:r w:rsidR="00886A7F">
        <w:t>Meetinghouse Lane</w:t>
      </w:r>
      <w:r w:rsidRPr="00886A7F">
        <w:t>.</w:t>
      </w:r>
      <w:r w:rsidR="000E3D40">
        <w:t xml:space="preserve">  </w:t>
      </w:r>
      <w:r w:rsidRPr="00886A7F">
        <w:t xml:space="preserve">Americans with Disabilities Act (ADA) compliant </w:t>
      </w:r>
      <w:r w:rsidR="00A74484" w:rsidRPr="00886A7F">
        <w:t>sidewalks</w:t>
      </w:r>
      <w:r w:rsidR="00570635" w:rsidRPr="00886A7F">
        <w:t xml:space="preserve">, </w:t>
      </w:r>
      <w:r w:rsidR="00950426" w:rsidRPr="00886A7F">
        <w:t>entrances,</w:t>
      </w:r>
      <w:r w:rsidR="00570635" w:rsidRPr="00886A7F">
        <w:t xml:space="preserve"> and parking</w:t>
      </w:r>
      <w:r w:rsidR="00A74484" w:rsidRPr="00886A7F">
        <w:t xml:space="preserve">, </w:t>
      </w:r>
      <w:r w:rsidRPr="00886A7F">
        <w:t>along with wheelchair ramps</w:t>
      </w:r>
      <w:r w:rsidR="0082094D" w:rsidRPr="00886A7F">
        <w:t xml:space="preserve">, </w:t>
      </w:r>
      <w:r w:rsidRPr="00886A7F">
        <w:t>as required</w:t>
      </w:r>
      <w:r w:rsidR="0082094D" w:rsidRPr="00886A7F">
        <w:t>, are provided</w:t>
      </w:r>
      <w:r w:rsidRPr="00886A7F">
        <w:t xml:space="preserve"> at all </w:t>
      </w:r>
      <w:r w:rsidR="00570635" w:rsidRPr="00886A7F">
        <w:t xml:space="preserve">buildings, </w:t>
      </w:r>
      <w:r w:rsidR="0082094D" w:rsidRPr="00886A7F">
        <w:t xml:space="preserve">handicapped parking spaces and internal </w:t>
      </w:r>
      <w:r w:rsidRPr="00886A7F">
        <w:t xml:space="preserve">pedestrian </w:t>
      </w:r>
      <w:r w:rsidR="0082094D" w:rsidRPr="00886A7F">
        <w:t xml:space="preserve">driveway </w:t>
      </w:r>
      <w:r w:rsidRPr="00886A7F">
        <w:t>crossings</w:t>
      </w:r>
      <w:r w:rsidR="0082094D" w:rsidRPr="00886A7F">
        <w:t>.</w:t>
      </w:r>
      <w:r w:rsidRPr="00886A7F">
        <w:t xml:space="preserve"> </w:t>
      </w:r>
    </w:p>
    <w:p w14:paraId="2CE2D260" w14:textId="28A5680B" w:rsidR="009F545D" w:rsidRPr="000C400A" w:rsidRDefault="009F545D" w:rsidP="009F545D">
      <w:r w:rsidRPr="000C400A">
        <w:t>As requested by the Town of Bourne Zoning Board of Appeals, the Applicants are conducting a traffic study</w:t>
      </w:r>
      <w:r>
        <w:t xml:space="preserve"> to evaluate the proposed development’s impacts to traffic circulation along Meetinghouse Lane.</w:t>
      </w:r>
      <w:r w:rsidR="00942D66">
        <w:t xml:space="preserve">  The study should be available soon.</w:t>
      </w:r>
    </w:p>
    <w:p w14:paraId="3D6C0C6E" w14:textId="47F39045" w:rsidR="001F73C6" w:rsidRDefault="00762B55" w:rsidP="0034337E">
      <w:pPr>
        <w:pStyle w:val="Heading2"/>
      </w:pPr>
      <w:bookmarkStart w:id="13" w:name="_Toc71740825"/>
      <w:bookmarkStart w:id="14" w:name="_Hlk39174557"/>
      <w:r>
        <w:t>L</w:t>
      </w:r>
      <w:r w:rsidR="007A75D2">
        <w:t>andscap</w:t>
      </w:r>
      <w:r>
        <w:t>e,</w:t>
      </w:r>
      <w:r w:rsidRPr="00762B55">
        <w:t xml:space="preserve"> </w:t>
      </w:r>
      <w:r>
        <w:t xml:space="preserve">external lighting, </w:t>
      </w:r>
      <w:r w:rsidR="007A75D2">
        <w:t>snow removal</w:t>
      </w:r>
      <w:r w:rsidR="003C0D26">
        <w:t>,</w:t>
      </w:r>
      <w:r w:rsidR="007A75D2">
        <w:t xml:space="preserve"> and screening</w:t>
      </w:r>
      <w:bookmarkEnd w:id="13"/>
    </w:p>
    <w:bookmarkEnd w:id="14"/>
    <w:p w14:paraId="62FA8983" w14:textId="6A1B5145" w:rsidR="00D6155D" w:rsidRDefault="00D35A3F" w:rsidP="0034337E">
      <w:r>
        <w:t xml:space="preserve">One </w:t>
      </w:r>
      <w:r w:rsidR="005108CF">
        <w:t>open space pocket</w:t>
      </w:r>
      <w:r>
        <w:t xml:space="preserve"> is</w:t>
      </w:r>
      <w:r w:rsidR="005108CF">
        <w:t xml:space="preserve"> incorporated into the site to provide outdoor space for residen</w:t>
      </w:r>
      <w:r w:rsidR="00CD6ED4">
        <w:t>ts</w:t>
      </w:r>
      <w:r w:rsidR="005108CF">
        <w:t xml:space="preserve"> to utilize</w:t>
      </w:r>
      <w:r w:rsidR="00981B95">
        <w:t>. N</w:t>
      </w:r>
      <w:r w:rsidR="005108CF">
        <w:t>ative trees, shrubs</w:t>
      </w:r>
      <w:r w:rsidR="006D42F0">
        <w:t>,</w:t>
      </w:r>
      <w:r w:rsidR="005108CF">
        <w:t xml:space="preserve"> and ornamental plants </w:t>
      </w:r>
      <w:r w:rsidR="00174734">
        <w:t xml:space="preserve">are </w:t>
      </w:r>
      <w:r w:rsidR="005108CF">
        <w:t>used to define spaces.</w:t>
      </w:r>
      <w:r w:rsidR="00D6155D">
        <w:t xml:space="preserve"> </w:t>
      </w:r>
      <w:r w:rsidR="00D6155D" w:rsidRPr="007A25AD">
        <w:rPr>
          <w:rStyle w:val="bodytext1"/>
          <w:rFonts w:ascii="Arial" w:hAnsi="Arial" w:cs="Arial"/>
          <w:sz w:val="22"/>
          <w:szCs w:val="22"/>
        </w:rPr>
        <w:t>To protect view sheds around the site</w:t>
      </w:r>
      <w:r w:rsidR="006D42F0">
        <w:rPr>
          <w:rStyle w:val="bodytext1"/>
          <w:rFonts w:ascii="Arial" w:hAnsi="Arial" w:cs="Arial"/>
          <w:sz w:val="22"/>
          <w:szCs w:val="22"/>
        </w:rPr>
        <w:t>,</w:t>
      </w:r>
      <w:r w:rsidR="00D6155D" w:rsidRPr="007A25AD">
        <w:rPr>
          <w:rStyle w:val="bodytext1"/>
          <w:rFonts w:ascii="Arial" w:hAnsi="Arial" w:cs="Arial"/>
          <w:sz w:val="22"/>
          <w:szCs w:val="22"/>
        </w:rPr>
        <w:t xml:space="preserve"> back of house items</w:t>
      </w:r>
      <w:r w:rsidR="006D42F0">
        <w:rPr>
          <w:rStyle w:val="bodytext1"/>
          <w:rFonts w:ascii="Arial" w:hAnsi="Arial" w:cs="Arial"/>
          <w:sz w:val="22"/>
          <w:szCs w:val="22"/>
        </w:rPr>
        <w:t xml:space="preserve"> (e.g.,</w:t>
      </w:r>
      <w:r w:rsidR="00D6155D" w:rsidRPr="007A25AD">
        <w:rPr>
          <w:rStyle w:val="bodytext1"/>
          <w:rFonts w:ascii="Arial" w:hAnsi="Arial" w:cs="Arial"/>
          <w:sz w:val="22"/>
          <w:szCs w:val="22"/>
        </w:rPr>
        <w:t xml:space="preserve"> trash enclosures and parking</w:t>
      </w:r>
      <w:r w:rsidR="006D42F0">
        <w:rPr>
          <w:rStyle w:val="bodytext1"/>
          <w:rFonts w:ascii="Arial" w:hAnsi="Arial" w:cs="Arial"/>
          <w:sz w:val="22"/>
          <w:szCs w:val="22"/>
        </w:rPr>
        <w:t>)</w:t>
      </w:r>
      <w:r w:rsidR="00D6155D" w:rsidRPr="007A25AD">
        <w:rPr>
          <w:rStyle w:val="bodytext1"/>
          <w:rFonts w:ascii="Arial" w:hAnsi="Arial" w:cs="Arial"/>
          <w:sz w:val="22"/>
          <w:szCs w:val="22"/>
        </w:rPr>
        <w:t xml:space="preserve"> </w:t>
      </w:r>
      <w:r w:rsidR="00174734">
        <w:rPr>
          <w:rStyle w:val="bodytext1"/>
          <w:rFonts w:ascii="Arial" w:hAnsi="Arial" w:cs="Arial"/>
          <w:sz w:val="22"/>
          <w:szCs w:val="22"/>
        </w:rPr>
        <w:t>are</w:t>
      </w:r>
      <w:r w:rsidR="00D6155D" w:rsidRPr="007A25AD">
        <w:rPr>
          <w:rStyle w:val="bodytext1"/>
          <w:rFonts w:ascii="Arial" w:hAnsi="Arial" w:cs="Arial"/>
          <w:sz w:val="22"/>
          <w:szCs w:val="22"/>
        </w:rPr>
        <w:t xml:space="preserve"> screened where possible.</w:t>
      </w:r>
      <w:r w:rsidR="00821693">
        <w:rPr>
          <w:rStyle w:val="bodytext1"/>
          <w:rFonts w:ascii="Arial" w:hAnsi="Arial" w:cs="Arial"/>
          <w:sz w:val="22"/>
          <w:szCs w:val="22"/>
        </w:rPr>
        <w:t xml:space="preserve"> </w:t>
      </w:r>
    </w:p>
    <w:p w14:paraId="394287FB" w14:textId="59337067" w:rsidR="00216F83" w:rsidRPr="00216F83" w:rsidRDefault="00216F83" w:rsidP="00216F83">
      <w:pPr>
        <w:spacing w:before="240" w:after="120"/>
        <w:rPr>
          <w:rFonts w:eastAsia="Times New Roman" w:cs="Arial"/>
          <w:bCs/>
          <w:iCs/>
          <w:szCs w:val="22"/>
        </w:rPr>
      </w:pPr>
      <w:r w:rsidRPr="00216F83">
        <w:rPr>
          <w:rFonts w:eastAsia="Times New Roman" w:cs="Arial"/>
          <w:bCs/>
          <w:iCs/>
          <w:szCs w:val="22"/>
        </w:rPr>
        <w:t>The landscape design objective is to enhance the built environment through the creation of a sustainable landscape that blends into the site's natural surroundings. The overall design philosophy will emphasize the use of native plantings and strive to integrate the proposed development’s needs into the site's woodland environment. The intent will be to create a passive landscape that will complement the proposed building architecture and natural beauty, while promoting interaction among the community’s residents.</w:t>
      </w:r>
    </w:p>
    <w:p w14:paraId="6072B641" w14:textId="39159745" w:rsidR="00216F83" w:rsidRDefault="00216F83" w:rsidP="00216F83">
      <w:r w:rsidRPr="00216F83">
        <w:rPr>
          <w:rFonts w:eastAsia="Times New Roman" w:cs="Arial"/>
          <w:bCs/>
          <w:iCs/>
          <w:szCs w:val="22"/>
        </w:rPr>
        <w:t>To accomplish the design goals, tree lined walkways will be meander throughout the site linking different use areas and providing a connection between</w:t>
      </w:r>
      <w:r>
        <w:rPr>
          <w:rFonts w:eastAsia="Times New Roman" w:cs="Arial"/>
          <w:bCs/>
          <w:iCs/>
          <w:szCs w:val="22"/>
        </w:rPr>
        <w:t xml:space="preserve"> Meetinghouse Road and</w:t>
      </w:r>
      <w:r w:rsidRPr="00216F83">
        <w:rPr>
          <w:rFonts w:eastAsia="Times New Roman" w:cs="Arial"/>
          <w:bCs/>
          <w:iCs/>
          <w:szCs w:val="22"/>
        </w:rPr>
        <w:t xml:space="preserve"> the building.  </w:t>
      </w:r>
      <w:r>
        <w:rPr>
          <w:rFonts w:eastAsia="Times New Roman" w:cs="Arial"/>
          <w:bCs/>
          <w:iCs/>
          <w:szCs w:val="22"/>
        </w:rPr>
        <w:t>Perimeter l</w:t>
      </w:r>
      <w:r w:rsidRPr="00216F83">
        <w:rPr>
          <w:rFonts w:eastAsia="Times New Roman" w:cs="Arial"/>
          <w:bCs/>
          <w:iCs/>
          <w:szCs w:val="22"/>
        </w:rPr>
        <w:t>andscap</w:t>
      </w:r>
      <w:r>
        <w:rPr>
          <w:rFonts w:eastAsia="Times New Roman" w:cs="Arial"/>
          <w:bCs/>
          <w:iCs/>
          <w:szCs w:val="22"/>
        </w:rPr>
        <w:t>ing</w:t>
      </w:r>
      <w:r w:rsidRPr="00216F83">
        <w:rPr>
          <w:rFonts w:eastAsia="Times New Roman" w:cs="Arial"/>
          <w:bCs/>
          <w:iCs/>
          <w:szCs w:val="22"/>
        </w:rPr>
        <w:t xml:space="preserve"> will be provided throughout the parking lots to break up the paved areas and provide shading.</w:t>
      </w:r>
      <w:r>
        <w:rPr>
          <w:rFonts w:eastAsia="Times New Roman" w:cs="Arial"/>
          <w:bCs/>
          <w:iCs/>
          <w:szCs w:val="22"/>
        </w:rPr>
        <w:t xml:space="preserve"> O</w:t>
      </w:r>
      <w:r>
        <w:t xml:space="preserve">utdoor open space areas for residents are incorporated into the design including outdoor seating areas, </w:t>
      </w:r>
      <w:r w:rsidR="00E77D1B">
        <w:t>playground</w:t>
      </w:r>
      <w:r>
        <w:t xml:space="preserve"> and </w:t>
      </w:r>
      <w:r w:rsidR="00E77D1B">
        <w:t>open</w:t>
      </w:r>
      <w:r>
        <w:t xml:space="preserve"> lawn. Native trees, shrubs, and ornamental plants are used to define spaces. </w:t>
      </w:r>
      <w:r w:rsidRPr="007A25AD">
        <w:rPr>
          <w:rStyle w:val="bodytext1"/>
          <w:rFonts w:ascii="Arial" w:hAnsi="Arial" w:cs="Arial"/>
          <w:sz w:val="22"/>
          <w:szCs w:val="22"/>
        </w:rPr>
        <w:t xml:space="preserve">To protect view sheds </w:t>
      </w:r>
      <w:r w:rsidR="00E77D1B">
        <w:rPr>
          <w:rStyle w:val="bodytext1"/>
          <w:rFonts w:ascii="Arial" w:hAnsi="Arial" w:cs="Arial"/>
          <w:sz w:val="22"/>
          <w:szCs w:val="22"/>
        </w:rPr>
        <w:t>both in</w:t>
      </w:r>
      <w:r>
        <w:rPr>
          <w:rStyle w:val="bodytext1"/>
          <w:rFonts w:ascii="Arial" w:hAnsi="Arial" w:cs="Arial"/>
          <w:sz w:val="22"/>
          <w:szCs w:val="22"/>
        </w:rPr>
        <w:t xml:space="preserve"> and out of the site </w:t>
      </w:r>
      <w:r w:rsidRPr="007A25AD">
        <w:rPr>
          <w:rStyle w:val="bodytext1"/>
          <w:rFonts w:ascii="Arial" w:hAnsi="Arial" w:cs="Arial"/>
          <w:sz w:val="22"/>
          <w:szCs w:val="22"/>
        </w:rPr>
        <w:t xml:space="preserve">around trash enclosures and parking </w:t>
      </w:r>
      <w:r>
        <w:rPr>
          <w:rStyle w:val="bodytext1"/>
          <w:rFonts w:ascii="Arial" w:hAnsi="Arial" w:cs="Arial"/>
          <w:sz w:val="22"/>
          <w:szCs w:val="22"/>
        </w:rPr>
        <w:t>are</w:t>
      </w:r>
      <w:r w:rsidRPr="007A25AD">
        <w:rPr>
          <w:rStyle w:val="bodytext1"/>
          <w:rFonts w:ascii="Arial" w:hAnsi="Arial" w:cs="Arial"/>
          <w:sz w:val="22"/>
          <w:szCs w:val="22"/>
        </w:rPr>
        <w:t xml:space="preserve"> screened where possible.</w:t>
      </w:r>
      <w:r>
        <w:rPr>
          <w:rStyle w:val="bodytext1"/>
          <w:rFonts w:ascii="Arial" w:hAnsi="Arial" w:cs="Arial"/>
          <w:sz w:val="22"/>
          <w:szCs w:val="22"/>
        </w:rPr>
        <w:t xml:space="preserve"> </w:t>
      </w:r>
    </w:p>
    <w:p w14:paraId="43A3CC7E" w14:textId="08564DD8" w:rsidR="00216F83" w:rsidRPr="00216F83" w:rsidRDefault="00216F83" w:rsidP="00216F83">
      <w:pPr>
        <w:spacing w:before="240" w:after="120"/>
        <w:rPr>
          <w:rFonts w:eastAsia="Times New Roman" w:cs="Arial"/>
          <w:bCs/>
          <w:iCs/>
          <w:szCs w:val="22"/>
        </w:rPr>
      </w:pPr>
      <w:r w:rsidRPr="00216F83">
        <w:rPr>
          <w:rFonts w:eastAsia="Times New Roman" w:cs="Arial"/>
          <w:bCs/>
          <w:iCs/>
          <w:szCs w:val="22"/>
        </w:rPr>
        <w:t>The plant selection will take its cue from the native plants of the surrounding plant community.  The site is bordered by a wetland to the south and east, care will be taken to minimize disturbance in this area and new plantings will be similar to those found within the undisturbed wetland buffer.</w:t>
      </w:r>
      <w:r>
        <w:rPr>
          <w:rFonts w:eastAsia="Times New Roman" w:cs="Arial"/>
          <w:bCs/>
          <w:iCs/>
          <w:szCs w:val="22"/>
        </w:rPr>
        <w:t xml:space="preserve"> Three different seed mixes were selected to provide mowed turf, naturalized and wetland buffer areas. </w:t>
      </w:r>
      <w:r w:rsidRPr="00216F83">
        <w:rPr>
          <w:rFonts w:eastAsia="Times New Roman" w:cs="Arial"/>
          <w:bCs/>
          <w:iCs/>
          <w:szCs w:val="22"/>
        </w:rPr>
        <w:t xml:space="preserve"> </w:t>
      </w:r>
    </w:p>
    <w:p w14:paraId="052EA407" w14:textId="7DE8DC1B" w:rsidR="007A25AD" w:rsidRDefault="007A25AD" w:rsidP="0034337E">
      <w:pPr>
        <w:rPr>
          <w:rFonts w:cs="Arial"/>
          <w:szCs w:val="22"/>
        </w:rPr>
      </w:pPr>
      <w:r w:rsidRPr="007A25AD">
        <w:rPr>
          <w:rFonts w:cs="Arial"/>
          <w:szCs w:val="22"/>
        </w:rPr>
        <w:t xml:space="preserve">The proposed plant design </w:t>
      </w:r>
      <w:r w:rsidR="00D35A3F">
        <w:rPr>
          <w:rFonts w:cs="Arial"/>
          <w:szCs w:val="22"/>
        </w:rPr>
        <w:t>will include</w:t>
      </w:r>
      <w:r w:rsidRPr="007A25AD">
        <w:rPr>
          <w:rFonts w:cs="Arial"/>
          <w:szCs w:val="22"/>
        </w:rPr>
        <w:t xml:space="preserve"> species listed in the sample recommended plant list below.</w:t>
      </w:r>
    </w:p>
    <w:p w14:paraId="6DF7BA39" w14:textId="28E016D8" w:rsidR="005B0D74" w:rsidRDefault="005B0D74" w:rsidP="0034337E">
      <w:pPr>
        <w:rPr>
          <w:rFonts w:cs="Arial"/>
          <w:szCs w:val="22"/>
        </w:rPr>
      </w:pPr>
      <w:r>
        <w:rPr>
          <w:rFonts w:cs="Arial"/>
          <w:b/>
          <w:bCs/>
          <w:color w:val="365F91" w:themeColor="accent1" w:themeShade="BF"/>
          <w:szCs w:val="22"/>
        </w:rPr>
        <w:lastRenderedPageBreak/>
        <w:t xml:space="preserve">Table </w:t>
      </w:r>
      <w:r w:rsidR="000E3D40">
        <w:rPr>
          <w:rFonts w:cs="Arial"/>
          <w:b/>
          <w:bCs/>
          <w:color w:val="365F91" w:themeColor="accent1" w:themeShade="BF"/>
          <w:szCs w:val="22"/>
        </w:rPr>
        <w:t>3</w:t>
      </w:r>
      <w:r>
        <w:rPr>
          <w:rFonts w:cs="Arial"/>
          <w:b/>
          <w:bCs/>
          <w:color w:val="365F91" w:themeColor="accent1" w:themeShade="BF"/>
          <w:szCs w:val="22"/>
        </w:rPr>
        <w:t xml:space="preserve">: </w:t>
      </w:r>
      <w:r w:rsidRPr="005108CF">
        <w:rPr>
          <w:rFonts w:cs="Arial"/>
          <w:b/>
          <w:bCs/>
          <w:color w:val="365F91" w:themeColor="accent1" w:themeShade="BF"/>
          <w:szCs w:val="22"/>
        </w:rPr>
        <w:t>Recommended Plant List</w:t>
      </w:r>
    </w:p>
    <w:tbl>
      <w:tblPr>
        <w:tblW w:w="5966" w:type="dxa"/>
        <w:tblLook w:val="04A0" w:firstRow="1" w:lastRow="0" w:firstColumn="1" w:lastColumn="0" w:noHBand="0" w:noVBand="1"/>
      </w:tblPr>
      <w:tblGrid>
        <w:gridCol w:w="2990"/>
        <w:gridCol w:w="2976"/>
      </w:tblGrid>
      <w:tr w:rsidR="005B0D74" w:rsidRPr="005B0D74" w14:paraId="2ACD4D49" w14:textId="77777777" w:rsidTr="005B0D74">
        <w:trPr>
          <w:trHeight w:val="264"/>
        </w:trPr>
        <w:tc>
          <w:tcPr>
            <w:tcW w:w="2990" w:type="dxa"/>
            <w:tcBorders>
              <w:top w:val="nil"/>
              <w:left w:val="nil"/>
              <w:bottom w:val="single" w:sz="4" w:space="0" w:color="auto"/>
              <w:right w:val="nil"/>
            </w:tcBorders>
            <w:shd w:val="clear" w:color="auto" w:fill="auto"/>
            <w:noWrap/>
            <w:vAlign w:val="bottom"/>
            <w:hideMark/>
          </w:tcPr>
          <w:p w14:paraId="11F33776" w14:textId="77777777" w:rsidR="005B0D74" w:rsidRPr="005B0D74" w:rsidRDefault="005B0D74" w:rsidP="005B0D74">
            <w:pPr>
              <w:spacing w:after="0" w:line="240" w:lineRule="auto"/>
              <w:rPr>
                <w:rFonts w:eastAsia="Times New Roman" w:cs="Arial"/>
                <w:b/>
                <w:bCs/>
                <w:sz w:val="20"/>
                <w:szCs w:val="20"/>
              </w:rPr>
            </w:pPr>
            <w:r w:rsidRPr="005B0D74">
              <w:rPr>
                <w:rFonts w:eastAsia="Times New Roman" w:cs="Arial"/>
                <w:b/>
                <w:bCs/>
                <w:sz w:val="20"/>
                <w:szCs w:val="20"/>
              </w:rPr>
              <w:t>Trees</w:t>
            </w:r>
          </w:p>
        </w:tc>
        <w:tc>
          <w:tcPr>
            <w:tcW w:w="2976" w:type="dxa"/>
            <w:tcBorders>
              <w:top w:val="nil"/>
              <w:left w:val="nil"/>
              <w:bottom w:val="single" w:sz="4" w:space="0" w:color="auto"/>
              <w:right w:val="nil"/>
            </w:tcBorders>
            <w:shd w:val="clear" w:color="auto" w:fill="auto"/>
            <w:noWrap/>
            <w:vAlign w:val="bottom"/>
            <w:hideMark/>
          </w:tcPr>
          <w:p w14:paraId="3AA36E5A"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 </w:t>
            </w:r>
          </w:p>
        </w:tc>
      </w:tr>
      <w:tr w:rsidR="005B0D74" w:rsidRPr="005B0D74" w14:paraId="31E0E44E" w14:textId="77777777" w:rsidTr="005B0D74">
        <w:trPr>
          <w:trHeight w:val="264"/>
        </w:trPr>
        <w:tc>
          <w:tcPr>
            <w:tcW w:w="2990" w:type="dxa"/>
            <w:tcBorders>
              <w:top w:val="nil"/>
              <w:left w:val="nil"/>
              <w:bottom w:val="nil"/>
              <w:right w:val="nil"/>
            </w:tcBorders>
            <w:shd w:val="clear" w:color="auto" w:fill="auto"/>
            <w:noWrap/>
            <w:vAlign w:val="bottom"/>
            <w:hideMark/>
          </w:tcPr>
          <w:p w14:paraId="211AB426"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Street/Large Deciduous</w:t>
            </w:r>
          </w:p>
        </w:tc>
        <w:tc>
          <w:tcPr>
            <w:tcW w:w="2976" w:type="dxa"/>
            <w:tcBorders>
              <w:top w:val="nil"/>
              <w:left w:val="nil"/>
              <w:bottom w:val="nil"/>
              <w:right w:val="nil"/>
            </w:tcBorders>
            <w:shd w:val="clear" w:color="auto" w:fill="auto"/>
            <w:noWrap/>
            <w:vAlign w:val="bottom"/>
            <w:hideMark/>
          </w:tcPr>
          <w:p w14:paraId="187DEC59" w14:textId="77777777" w:rsidR="005B0D74" w:rsidRPr="005B0D74" w:rsidRDefault="005B0D74" w:rsidP="005B0D74">
            <w:pPr>
              <w:spacing w:after="0" w:line="240" w:lineRule="auto"/>
              <w:rPr>
                <w:rFonts w:eastAsia="Times New Roman" w:cs="Arial"/>
                <w:b/>
                <w:bCs/>
                <w:i/>
                <w:iCs/>
                <w:sz w:val="20"/>
                <w:szCs w:val="20"/>
              </w:rPr>
            </w:pPr>
          </w:p>
        </w:tc>
      </w:tr>
      <w:tr w:rsidR="005B0D74" w:rsidRPr="005B0D74" w14:paraId="660B532B" w14:textId="77777777" w:rsidTr="005B0D74">
        <w:trPr>
          <w:trHeight w:val="264"/>
        </w:trPr>
        <w:tc>
          <w:tcPr>
            <w:tcW w:w="2990" w:type="dxa"/>
            <w:tcBorders>
              <w:top w:val="nil"/>
              <w:left w:val="nil"/>
              <w:bottom w:val="nil"/>
              <w:right w:val="nil"/>
            </w:tcBorders>
            <w:shd w:val="clear" w:color="auto" w:fill="auto"/>
            <w:noWrap/>
            <w:vAlign w:val="bottom"/>
            <w:hideMark/>
          </w:tcPr>
          <w:p w14:paraId="1BA3533D"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Acer rubrum</w:t>
            </w:r>
          </w:p>
        </w:tc>
        <w:tc>
          <w:tcPr>
            <w:tcW w:w="2976" w:type="dxa"/>
            <w:tcBorders>
              <w:top w:val="nil"/>
              <w:left w:val="nil"/>
              <w:bottom w:val="nil"/>
              <w:right w:val="nil"/>
            </w:tcBorders>
            <w:shd w:val="clear" w:color="auto" w:fill="auto"/>
            <w:noWrap/>
            <w:vAlign w:val="bottom"/>
            <w:hideMark/>
          </w:tcPr>
          <w:p w14:paraId="63BD08E6"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Red Maple</w:t>
            </w:r>
          </w:p>
        </w:tc>
      </w:tr>
      <w:tr w:rsidR="005B0D74" w:rsidRPr="005B0D74" w14:paraId="12070854" w14:textId="77777777" w:rsidTr="005B0D74">
        <w:trPr>
          <w:trHeight w:val="264"/>
        </w:trPr>
        <w:tc>
          <w:tcPr>
            <w:tcW w:w="2990" w:type="dxa"/>
            <w:tcBorders>
              <w:top w:val="nil"/>
              <w:left w:val="nil"/>
              <w:bottom w:val="nil"/>
              <w:right w:val="nil"/>
            </w:tcBorders>
            <w:shd w:val="clear" w:color="auto" w:fill="auto"/>
            <w:noWrap/>
            <w:vAlign w:val="bottom"/>
            <w:hideMark/>
          </w:tcPr>
          <w:p w14:paraId="5B827CE0"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Nyssa sylvatica</w:t>
            </w:r>
          </w:p>
        </w:tc>
        <w:tc>
          <w:tcPr>
            <w:tcW w:w="2976" w:type="dxa"/>
            <w:tcBorders>
              <w:top w:val="nil"/>
              <w:left w:val="nil"/>
              <w:bottom w:val="nil"/>
              <w:right w:val="nil"/>
            </w:tcBorders>
            <w:shd w:val="clear" w:color="auto" w:fill="auto"/>
            <w:noWrap/>
            <w:vAlign w:val="bottom"/>
            <w:hideMark/>
          </w:tcPr>
          <w:p w14:paraId="37FD7890"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Tupelo</w:t>
            </w:r>
          </w:p>
        </w:tc>
      </w:tr>
      <w:tr w:rsidR="005B0D74" w:rsidRPr="005B0D74" w14:paraId="72E8E83D" w14:textId="77777777" w:rsidTr="005B0D74">
        <w:trPr>
          <w:trHeight w:val="264"/>
        </w:trPr>
        <w:tc>
          <w:tcPr>
            <w:tcW w:w="2990" w:type="dxa"/>
            <w:tcBorders>
              <w:top w:val="nil"/>
              <w:left w:val="nil"/>
              <w:bottom w:val="nil"/>
              <w:right w:val="nil"/>
            </w:tcBorders>
            <w:shd w:val="clear" w:color="auto" w:fill="auto"/>
            <w:noWrap/>
            <w:vAlign w:val="bottom"/>
            <w:hideMark/>
          </w:tcPr>
          <w:p w14:paraId="32D73417"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Quercus alba</w:t>
            </w:r>
          </w:p>
        </w:tc>
        <w:tc>
          <w:tcPr>
            <w:tcW w:w="2976" w:type="dxa"/>
            <w:tcBorders>
              <w:top w:val="nil"/>
              <w:left w:val="nil"/>
              <w:bottom w:val="nil"/>
              <w:right w:val="nil"/>
            </w:tcBorders>
            <w:shd w:val="clear" w:color="auto" w:fill="auto"/>
            <w:noWrap/>
            <w:vAlign w:val="bottom"/>
            <w:hideMark/>
          </w:tcPr>
          <w:p w14:paraId="04F62B54"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White Oak</w:t>
            </w:r>
          </w:p>
        </w:tc>
      </w:tr>
      <w:tr w:rsidR="005B0D74" w:rsidRPr="005B0D74" w14:paraId="5B1F169B" w14:textId="77777777" w:rsidTr="005B0D74">
        <w:trPr>
          <w:trHeight w:val="264"/>
        </w:trPr>
        <w:tc>
          <w:tcPr>
            <w:tcW w:w="2990" w:type="dxa"/>
            <w:tcBorders>
              <w:top w:val="nil"/>
              <w:left w:val="nil"/>
              <w:bottom w:val="nil"/>
              <w:right w:val="nil"/>
            </w:tcBorders>
            <w:shd w:val="clear" w:color="auto" w:fill="auto"/>
            <w:noWrap/>
            <w:vAlign w:val="bottom"/>
            <w:hideMark/>
          </w:tcPr>
          <w:p w14:paraId="6C226B3C"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Quercus coccinea</w:t>
            </w:r>
          </w:p>
        </w:tc>
        <w:tc>
          <w:tcPr>
            <w:tcW w:w="2976" w:type="dxa"/>
            <w:tcBorders>
              <w:top w:val="nil"/>
              <w:left w:val="nil"/>
              <w:bottom w:val="nil"/>
              <w:right w:val="nil"/>
            </w:tcBorders>
            <w:shd w:val="clear" w:color="auto" w:fill="auto"/>
            <w:noWrap/>
            <w:vAlign w:val="bottom"/>
            <w:hideMark/>
          </w:tcPr>
          <w:p w14:paraId="7F78DF65"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Scarlet Oak</w:t>
            </w:r>
          </w:p>
        </w:tc>
      </w:tr>
      <w:tr w:rsidR="005B0D74" w:rsidRPr="005B0D74" w14:paraId="3899619A" w14:textId="77777777" w:rsidTr="005B0D74">
        <w:trPr>
          <w:trHeight w:val="264"/>
        </w:trPr>
        <w:tc>
          <w:tcPr>
            <w:tcW w:w="2990" w:type="dxa"/>
            <w:tcBorders>
              <w:top w:val="nil"/>
              <w:left w:val="nil"/>
              <w:bottom w:val="nil"/>
              <w:right w:val="nil"/>
            </w:tcBorders>
            <w:shd w:val="clear" w:color="auto" w:fill="auto"/>
            <w:noWrap/>
            <w:vAlign w:val="bottom"/>
            <w:hideMark/>
          </w:tcPr>
          <w:p w14:paraId="52B32E52"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Quercus rubra</w:t>
            </w:r>
          </w:p>
        </w:tc>
        <w:tc>
          <w:tcPr>
            <w:tcW w:w="2976" w:type="dxa"/>
            <w:tcBorders>
              <w:top w:val="nil"/>
              <w:left w:val="nil"/>
              <w:bottom w:val="nil"/>
              <w:right w:val="nil"/>
            </w:tcBorders>
            <w:shd w:val="clear" w:color="auto" w:fill="auto"/>
            <w:noWrap/>
            <w:vAlign w:val="bottom"/>
            <w:hideMark/>
          </w:tcPr>
          <w:p w14:paraId="3F04DCDA"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Red Oak</w:t>
            </w:r>
          </w:p>
        </w:tc>
      </w:tr>
      <w:tr w:rsidR="005B0D74" w:rsidRPr="005B0D74" w14:paraId="407DEF15" w14:textId="77777777" w:rsidTr="005B0D74">
        <w:trPr>
          <w:trHeight w:val="264"/>
        </w:trPr>
        <w:tc>
          <w:tcPr>
            <w:tcW w:w="2990" w:type="dxa"/>
            <w:tcBorders>
              <w:top w:val="nil"/>
              <w:left w:val="nil"/>
              <w:bottom w:val="nil"/>
              <w:right w:val="nil"/>
            </w:tcBorders>
            <w:shd w:val="clear" w:color="auto" w:fill="auto"/>
            <w:noWrap/>
            <w:vAlign w:val="bottom"/>
            <w:hideMark/>
          </w:tcPr>
          <w:p w14:paraId="6F421294"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Ulmus americana</w:t>
            </w:r>
          </w:p>
        </w:tc>
        <w:tc>
          <w:tcPr>
            <w:tcW w:w="2976" w:type="dxa"/>
            <w:tcBorders>
              <w:top w:val="nil"/>
              <w:left w:val="nil"/>
              <w:bottom w:val="nil"/>
              <w:right w:val="nil"/>
            </w:tcBorders>
            <w:shd w:val="clear" w:color="auto" w:fill="auto"/>
            <w:noWrap/>
            <w:vAlign w:val="bottom"/>
            <w:hideMark/>
          </w:tcPr>
          <w:p w14:paraId="54CFBC76"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American Elm</w:t>
            </w:r>
          </w:p>
        </w:tc>
      </w:tr>
      <w:tr w:rsidR="005B0D74" w:rsidRPr="005B0D74" w14:paraId="3CED1282" w14:textId="77777777" w:rsidTr="005B0D74">
        <w:trPr>
          <w:trHeight w:val="264"/>
        </w:trPr>
        <w:tc>
          <w:tcPr>
            <w:tcW w:w="2990" w:type="dxa"/>
            <w:tcBorders>
              <w:top w:val="nil"/>
              <w:left w:val="nil"/>
              <w:bottom w:val="nil"/>
              <w:right w:val="nil"/>
            </w:tcBorders>
            <w:shd w:val="clear" w:color="auto" w:fill="auto"/>
            <w:noWrap/>
            <w:vAlign w:val="bottom"/>
            <w:hideMark/>
          </w:tcPr>
          <w:p w14:paraId="3A49C7E7"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3B86C980"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2F811471" w14:textId="77777777" w:rsidTr="005B0D74">
        <w:trPr>
          <w:trHeight w:val="264"/>
        </w:trPr>
        <w:tc>
          <w:tcPr>
            <w:tcW w:w="2990" w:type="dxa"/>
            <w:tcBorders>
              <w:top w:val="nil"/>
              <w:left w:val="nil"/>
              <w:bottom w:val="nil"/>
              <w:right w:val="nil"/>
            </w:tcBorders>
            <w:shd w:val="clear" w:color="auto" w:fill="auto"/>
            <w:noWrap/>
            <w:vAlign w:val="bottom"/>
            <w:hideMark/>
          </w:tcPr>
          <w:p w14:paraId="6DEBEB5A"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Ornamental</w:t>
            </w:r>
          </w:p>
        </w:tc>
        <w:tc>
          <w:tcPr>
            <w:tcW w:w="2976" w:type="dxa"/>
            <w:tcBorders>
              <w:top w:val="nil"/>
              <w:left w:val="nil"/>
              <w:bottom w:val="nil"/>
              <w:right w:val="nil"/>
            </w:tcBorders>
            <w:shd w:val="clear" w:color="auto" w:fill="auto"/>
            <w:noWrap/>
            <w:vAlign w:val="bottom"/>
            <w:hideMark/>
          </w:tcPr>
          <w:p w14:paraId="0EB0CBA4" w14:textId="77777777" w:rsidR="005B0D74" w:rsidRPr="005B0D74" w:rsidRDefault="005B0D74" w:rsidP="005B0D74">
            <w:pPr>
              <w:spacing w:after="0" w:line="240" w:lineRule="auto"/>
              <w:rPr>
                <w:rFonts w:eastAsia="Times New Roman" w:cs="Arial"/>
                <w:b/>
                <w:bCs/>
                <w:i/>
                <w:iCs/>
                <w:sz w:val="20"/>
                <w:szCs w:val="20"/>
              </w:rPr>
            </w:pPr>
          </w:p>
        </w:tc>
      </w:tr>
      <w:tr w:rsidR="005B0D74" w:rsidRPr="005B0D74" w14:paraId="2F3370CE" w14:textId="77777777" w:rsidTr="005B0D74">
        <w:trPr>
          <w:trHeight w:val="264"/>
        </w:trPr>
        <w:tc>
          <w:tcPr>
            <w:tcW w:w="2990" w:type="dxa"/>
            <w:tcBorders>
              <w:top w:val="nil"/>
              <w:left w:val="nil"/>
              <w:bottom w:val="nil"/>
              <w:right w:val="nil"/>
            </w:tcBorders>
            <w:shd w:val="clear" w:color="auto" w:fill="auto"/>
            <w:noWrap/>
            <w:vAlign w:val="bottom"/>
            <w:hideMark/>
          </w:tcPr>
          <w:p w14:paraId="05F9FFEE"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Amelanchier sp.</w:t>
            </w:r>
          </w:p>
        </w:tc>
        <w:tc>
          <w:tcPr>
            <w:tcW w:w="2976" w:type="dxa"/>
            <w:tcBorders>
              <w:top w:val="nil"/>
              <w:left w:val="nil"/>
              <w:bottom w:val="nil"/>
              <w:right w:val="nil"/>
            </w:tcBorders>
            <w:shd w:val="clear" w:color="auto" w:fill="auto"/>
            <w:noWrap/>
            <w:vAlign w:val="bottom"/>
            <w:hideMark/>
          </w:tcPr>
          <w:p w14:paraId="62DC0EDF"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Serviceberry</w:t>
            </w:r>
          </w:p>
        </w:tc>
      </w:tr>
      <w:tr w:rsidR="005B0D74" w:rsidRPr="005B0D74" w14:paraId="412E1D45" w14:textId="77777777" w:rsidTr="005B0D74">
        <w:trPr>
          <w:trHeight w:val="264"/>
        </w:trPr>
        <w:tc>
          <w:tcPr>
            <w:tcW w:w="2990" w:type="dxa"/>
            <w:tcBorders>
              <w:top w:val="nil"/>
              <w:left w:val="nil"/>
              <w:bottom w:val="nil"/>
              <w:right w:val="nil"/>
            </w:tcBorders>
            <w:shd w:val="clear" w:color="auto" w:fill="auto"/>
            <w:noWrap/>
            <w:vAlign w:val="bottom"/>
            <w:hideMark/>
          </w:tcPr>
          <w:p w14:paraId="637B68F9"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Betula papyrifera</w:t>
            </w:r>
          </w:p>
        </w:tc>
        <w:tc>
          <w:tcPr>
            <w:tcW w:w="2976" w:type="dxa"/>
            <w:tcBorders>
              <w:top w:val="nil"/>
              <w:left w:val="nil"/>
              <w:bottom w:val="nil"/>
              <w:right w:val="nil"/>
            </w:tcBorders>
            <w:shd w:val="clear" w:color="auto" w:fill="auto"/>
            <w:noWrap/>
            <w:vAlign w:val="bottom"/>
            <w:hideMark/>
          </w:tcPr>
          <w:p w14:paraId="10770601"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Paper Birch</w:t>
            </w:r>
          </w:p>
        </w:tc>
      </w:tr>
      <w:tr w:rsidR="005B0D74" w:rsidRPr="005B0D74" w14:paraId="4BA9F4CA" w14:textId="77777777" w:rsidTr="005B0D74">
        <w:trPr>
          <w:trHeight w:val="264"/>
        </w:trPr>
        <w:tc>
          <w:tcPr>
            <w:tcW w:w="2990" w:type="dxa"/>
            <w:tcBorders>
              <w:top w:val="nil"/>
              <w:left w:val="nil"/>
              <w:bottom w:val="nil"/>
              <w:right w:val="nil"/>
            </w:tcBorders>
            <w:shd w:val="clear" w:color="auto" w:fill="auto"/>
            <w:noWrap/>
            <w:vAlign w:val="bottom"/>
            <w:hideMark/>
          </w:tcPr>
          <w:p w14:paraId="2125AFCB"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Betula populifolia</w:t>
            </w:r>
          </w:p>
        </w:tc>
        <w:tc>
          <w:tcPr>
            <w:tcW w:w="2976" w:type="dxa"/>
            <w:tcBorders>
              <w:top w:val="nil"/>
              <w:left w:val="nil"/>
              <w:bottom w:val="nil"/>
              <w:right w:val="nil"/>
            </w:tcBorders>
            <w:shd w:val="clear" w:color="auto" w:fill="auto"/>
            <w:noWrap/>
            <w:vAlign w:val="bottom"/>
            <w:hideMark/>
          </w:tcPr>
          <w:p w14:paraId="3DD5BC6A"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Gray Birch</w:t>
            </w:r>
          </w:p>
        </w:tc>
      </w:tr>
      <w:tr w:rsidR="005B0D74" w:rsidRPr="005B0D74" w14:paraId="5792286A" w14:textId="77777777" w:rsidTr="005B0D74">
        <w:trPr>
          <w:trHeight w:val="264"/>
        </w:trPr>
        <w:tc>
          <w:tcPr>
            <w:tcW w:w="2990" w:type="dxa"/>
            <w:tcBorders>
              <w:top w:val="nil"/>
              <w:left w:val="nil"/>
              <w:bottom w:val="nil"/>
              <w:right w:val="nil"/>
            </w:tcBorders>
            <w:shd w:val="clear" w:color="auto" w:fill="auto"/>
            <w:noWrap/>
            <w:vAlign w:val="bottom"/>
            <w:hideMark/>
          </w:tcPr>
          <w:p w14:paraId="5220D1C2"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501BDA4A"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7C4B409F" w14:textId="77777777" w:rsidTr="005B0D74">
        <w:trPr>
          <w:trHeight w:val="264"/>
        </w:trPr>
        <w:tc>
          <w:tcPr>
            <w:tcW w:w="2990" w:type="dxa"/>
            <w:tcBorders>
              <w:top w:val="nil"/>
              <w:left w:val="nil"/>
              <w:bottom w:val="nil"/>
              <w:right w:val="nil"/>
            </w:tcBorders>
            <w:shd w:val="clear" w:color="auto" w:fill="auto"/>
            <w:noWrap/>
            <w:vAlign w:val="bottom"/>
            <w:hideMark/>
          </w:tcPr>
          <w:p w14:paraId="1D255B0D"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Evergreen</w:t>
            </w:r>
          </w:p>
        </w:tc>
        <w:tc>
          <w:tcPr>
            <w:tcW w:w="2976" w:type="dxa"/>
            <w:tcBorders>
              <w:top w:val="nil"/>
              <w:left w:val="nil"/>
              <w:bottom w:val="nil"/>
              <w:right w:val="nil"/>
            </w:tcBorders>
            <w:shd w:val="clear" w:color="auto" w:fill="auto"/>
            <w:noWrap/>
            <w:vAlign w:val="bottom"/>
            <w:hideMark/>
          </w:tcPr>
          <w:p w14:paraId="3D22D4D2" w14:textId="77777777" w:rsidR="005B0D74" w:rsidRPr="005B0D74" w:rsidRDefault="005B0D74" w:rsidP="005B0D74">
            <w:pPr>
              <w:spacing w:after="0" w:line="240" w:lineRule="auto"/>
              <w:rPr>
                <w:rFonts w:eastAsia="Times New Roman" w:cs="Arial"/>
                <w:b/>
                <w:bCs/>
                <w:i/>
                <w:iCs/>
                <w:sz w:val="20"/>
                <w:szCs w:val="20"/>
              </w:rPr>
            </w:pPr>
          </w:p>
        </w:tc>
      </w:tr>
      <w:tr w:rsidR="005B0D74" w:rsidRPr="005B0D74" w14:paraId="7597A7FE" w14:textId="77777777" w:rsidTr="005B0D74">
        <w:trPr>
          <w:trHeight w:val="264"/>
        </w:trPr>
        <w:tc>
          <w:tcPr>
            <w:tcW w:w="2990" w:type="dxa"/>
            <w:tcBorders>
              <w:top w:val="nil"/>
              <w:left w:val="nil"/>
              <w:bottom w:val="nil"/>
              <w:right w:val="nil"/>
            </w:tcBorders>
            <w:shd w:val="clear" w:color="auto" w:fill="auto"/>
            <w:noWrap/>
            <w:vAlign w:val="bottom"/>
            <w:hideMark/>
          </w:tcPr>
          <w:p w14:paraId="6DFB06C6"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Juniperus virginiana</w:t>
            </w:r>
          </w:p>
        </w:tc>
        <w:tc>
          <w:tcPr>
            <w:tcW w:w="2976" w:type="dxa"/>
            <w:tcBorders>
              <w:top w:val="nil"/>
              <w:left w:val="nil"/>
              <w:bottom w:val="nil"/>
              <w:right w:val="nil"/>
            </w:tcBorders>
            <w:shd w:val="clear" w:color="auto" w:fill="auto"/>
            <w:noWrap/>
            <w:vAlign w:val="bottom"/>
            <w:hideMark/>
          </w:tcPr>
          <w:p w14:paraId="523FD33D"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Eastern Red Cedar</w:t>
            </w:r>
          </w:p>
        </w:tc>
      </w:tr>
      <w:tr w:rsidR="005B0D74" w:rsidRPr="005B0D74" w14:paraId="1DFDBC74" w14:textId="77777777" w:rsidTr="005B0D74">
        <w:trPr>
          <w:trHeight w:val="264"/>
        </w:trPr>
        <w:tc>
          <w:tcPr>
            <w:tcW w:w="2990" w:type="dxa"/>
            <w:tcBorders>
              <w:top w:val="nil"/>
              <w:left w:val="nil"/>
              <w:bottom w:val="nil"/>
              <w:right w:val="nil"/>
            </w:tcBorders>
            <w:shd w:val="clear" w:color="auto" w:fill="auto"/>
            <w:noWrap/>
            <w:vAlign w:val="bottom"/>
            <w:hideMark/>
          </w:tcPr>
          <w:p w14:paraId="5614BD7F"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Pinus strobus</w:t>
            </w:r>
          </w:p>
        </w:tc>
        <w:tc>
          <w:tcPr>
            <w:tcW w:w="2976" w:type="dxa"/>
            <w:tcBorders>
              <w:top w:val="nil"/>
              <w:left w:val="nil"/>
              <w:bottom w:val="nil"/>
              <w:right w:val="nil"/>
            </w:tcBorders>
            <w:shd w:val="clear" w:color="auto" w:fill="auto"/>
            <w:noWrap/>
            <w:vAlign w:val="bottom"/>
            <w:hideMark/>
          </w:tcPr>
          <w:p w14:paraId="74B6A5A6"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White Pine</w:t>
            </w:r>
          </w:p>
        </w:tc>
      </w:tr>
      <w:tr w:rsidR="005B0D74" w:rsidRPr="005B0D74" w14:paraId="3BBEADF2" w14:textId="77777777" w:rsidTr="005B0D74">
        <w:trPr>
          <w:trHeight w:val="264"/>
        </w:trPr>
        <w:tc>
          <w:tcPr>
            <w:tcW w:w="2990" w:type="dxa"/>
            <w:tcBorders>
              <w:top w:val="nil"/>
              <w:left w:val="nil"/>
              <w:bottom w:val="nil"/>
              <w:right w:val="nil"/>
            </w:tcBorders>
            <w:shd w:val="clear" w:color="auto" w:fill="auto"/>
            <w:noWrap/>
            <w:vAlign w:val="bottom"/>
            <w:hideMark/>
          </w:tcPr>
          <w:p w14:paraId="2A337E64"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14848A6A"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3B65B85A" w14:textId="77777777" w:rsidTr="005B0D74">
        <w:trPr>
          <w:trHeight w:val="264"/>
        </w:trPr>
        <w:tc>
          <w:tcPr>
            <w:tcW w:w="2990" w:type="dxa"/>
            <w:tcBorders>
              <w:top w:val="nil"/>
              <w:left w:val="nil"/>
              <w:bottom w:val="single" w:sz="4" w:space="0" w:color="auto"/>
              <w:right w:val="nil"/>
            </w:tcBorders>
            <w:shd w:val="clear" w:color="auto" w:fill="auto"/>
            <w:noWrap/>
            <w:vAlign w:val="bottom"/>
            <w:hideMark/>
          </w:tcPr>
          <w:p w14:paraId="1D23E18D" w14:textId="77777777" w:rsidR="005B0D74" w:rsidRPr="005B0D74" w:rsidRDefault="005B0D74" w:rsidP="005B0D74">
            <w:pPr>
              <w:spacing w:after="0" w:line="240" w:lineRule="auto"/>
              <w:rPr>
                <w:rFonts w:eastAsia="Times New Roman" w:cs="Arial"/>
                <w:b/>
                <w:bCs/>
                <w:sz w:val="20"/>
                <w:szCs w:val="20"/>
              </w:rPr>
            </w:pPr>
            <w:r w:rsidRPr="005B0D74">
              <w:rPr>
                <w:rFonts w:eastAsia="Times New Roman" w:cs="Arial"/>
                <w:b/>
                <w:bCs/>
                <w:sz w:val="20"/>
                <w:szCs w:val="20"/>
              </w:rPr>
              <w:t>Foundation Plants</w:t>
            </w:r>
          </w:p>
        </w:tc>
        <w:tc>
          <w:tcPr>
            <w:tcW w:w="2976" w:type="dxa"/>
            <w:tcBorders>
              <w:top w:val="nil"/>
              <w:left w:val="nil"/>
              <w:bottom w:val="single" w:sz="4" w:space="0" w:color="auto"/>
              <w:right w:val="nil"/>
            </w:tcBorders>
            <w:shd w:val="clear" w:color="auto" w:fill="auto"/>
            <w:noWrap/>
            <w:vAlign w:val="bottom"/>
            <w:hideMark/>
          </w:tcPr>
          <w:p w14:paraId="0490A063"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 </w:t>
            </w:r>
          </w:p>
        </w:tc>
      </w:tr>
      <w:tr w:rsidR="005B0D74" w:rsidRPr="005B0D74" w14:paraId="6FFF2B28" w14:textId="77777777" w:rsidTr="005B0D74">
        <w:trPr>
          <w:trHeight w:val="264"/>
        </w:trPr>
        <w:tc>
          <w:tcPr>
            <w:tcW w:w="2990" w:type="dxa"/>
            <w:tcBorders>
              <w:top w:val="nil"/>
              <w:left w:val="nil"/>
              <w:bottom w:val="nil"/>
              <w:right w:val="nil"/>
            </w:tcBorders>
            <w:shd w:val="clear" w:color="auto" w:fill="auto"/>
            <w:noWrap/>
            <w:vAlign w:val="bottom"/>
            <w:hideMark/>
          </w:tcPr>
          <w:p w14:paraId="485E2BFD"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Shrubs</w:t>
            </w:r>
          </w:p>
        </w:tc>
        <w:tc>
          <w:tcPr>
            <w:tcW w:w="2976" w:type="dxa"/>
            <w:tcBorders>
              <w:top w:val="nil"/>
              <w:left w:val="nil"/>
              <w:bottom w:val="nil"/>
              <w:right w:val="nil"/>
            </w:tcBorders>
            <w:shd w:val="clear" w:color="auto" w:fill="auto"/>
            <w:noWrap/>
            <w:vAlign w:val="bottom"/>
            <w:hideMark/>
          </w:tcPr>
          <w:p w14:paraId="5FCA53D6" w14:textId="77777777" w:rsidR="005B0D74" w:rsidRPr="005B0D74" w:rsidRDefault="005B0D74" w:rsidP="005B0D74">
            <w:pPr>
              <w:spacing w:after="0" w:line="240" w:lineRule="auto"/>
              <w:rPr>
                <w:rFonts w:eastAsia="Times New Roman" w:cs="Arial"/>
                <w:b/>
                <w:bCs/>
                <w:i/>
                <w:iCs/>
                <w:sz w:val="20"/>
                <w:szCs w:val="20"/>
              </w:rPr>
            </w:pPr>
          </w:p>
        </w:tc>
      </w:tr>
      <w:tr w:rsidR="005B0D74" w:rsidRPr="005B0D74" w14:paraId="534882C2" w14:textId="77777777" w:rsidTr="005B0D74">
        <w:trPr>
          <w:trHeight w:val="264"/>
        </w:trPr>
        <w:tc>
          <w:tcPr>
            <w:tcW w:w="2990" w:type="dxa"/>
            <w:tcBorders>
              <w:top w:val="nil"/>
              <w:left w:val="nil"/>
              <w:bottom w:val="nil"/>
              <w:right w:val="nil"/>
            </w:tcBorders>
            <w:shd w:val="clear" w:color="auto" w:fill="auto"/>
            <w:noWrap/>
            <w:vAlign w:val="bottom"/>
            <w:hideMark/>
          </w:tcPr>
          <w:p w14:paraId="2B278562"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 xml:space="preserve">Aronia sp. </w:t>
            </w:r>
          </w:p>
        </w:tc>
        <w:tc>
          <w:tcPr>
            <w:tcW w:w="2976" w:type="dxa"/>
            <w:tcBorders>
              <w:top w:val="nil"/>
              <w:left w:val="nil"/>
              <w:bottom w:val="nil"/>
              <w:right w:val="nil"/>
            </w:tcBorders>
            <w:shd w:val="clear" w:color="auto" w:fill="auto"/>
            <w:noWrap/>
            <w:vAlign w:val="bottom"/>
            <w:hideMark/>
          </w:tcPr>
          <w:p w14:paraId="2634D127"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Chokeberry</w:t>
            </w:r>
          </w:p>
        </w:tc>
      </w:tr>
      <w:tr w:rsidR="005B0D74" w:rsidRPr="005B0D74" w14:paraId="7E15CA31" w14:textId="77777777" w:rsidTr="005B0D74">
        <w:trPr>
          <w:trHeight w:val="264"/>
        </w:trPr>
        <w:tc>
          <w:tcPr>
            <w:tcW w:w="2990" w:type="dxa"/>
            <w:tcBorders>
              <w:top w:val="nil"/>
              <w:left w:val="nil"/>
              <w:bottom w:val="nil"/>
              <w:right w:val="nil"/>
            </w:tcBorders>
            <w:shd w:val="clear" w:color="auto" w:fill="auto"/>
            <w:noWrap/>
            <w:vAlign w:val="bottom"/>
            <w:hideMark/>
          </w:tcPr>
          <w:p w14:paraId="1FCD3228"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Clethra alnifolia</w:t>
            </w:r>
          </w:p>
        </w:tc>
        <w:tc>
          <w:tcPr>
            <w:tcW w:w="2976" w:type="dxa"/>
            <w:tcBorders>
              <w:top w:val="nil"/>
              <w:left w:val="nil"/>
              <w:bottom w:val="nil"/>
              <w:right w:val="nil"/>
            </w:tcBorders>
            <w:shd w:val="clear" w:color="auto" w:fill="auto"/>
            <w:noWrap/>
            <w:vAlign w:val="bottom"/>
            <w:hideMark/>
          </w:tcPr>
          <w:p w14:paraId="1E09EEAB"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Summersweet Clethra</w:t>
            </w:r>
          </w:p>
        </w:tc>
      </w:tr>
      <w:tr w:rsidR="005B0D74" w:rsidRPr="005B0D74" w14:paraId="419CF4F4" w14:textId="77777777" w:rsidTr="005B0D74">
        <w:trPr>
          <w:trHeight w:val="264"/>
        </w:trPr>
        <w:tc>
          <w:tcPr>
            <w:tcW w:w="2990" w:type="dxa"/>
            <w:tcBorders>
              <w:top w:val="nil"/>
              <w:left w:val="nil"/>
              <w:bottom w:val="nil"/>
              <w:right w:val="nil"/>
            </w:tcBorders>
            <w:shd w:val="clear" w:color="auto" w:fill="auto"/>
            <w:noWrap/>
            <w:vAlign w:val="bottom"/>
            <w:hideMark/>
          </w:tcPr>
          <w:p w14:paraId="24FAC339"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Comptonia peregrina</w:t>
            </w:r>
          </w:p>
        </w:tc>
        <w:tc>
          <w:tcPr>
            <w:tcW w:w="2976" w:type="dxa"/>
            <w:tcBorders>
              <w:top w:val="nil"/>
              <w:left w:val="nil"/>
              <w:bottom w:val="nil"/>
              <w:right w:val="nil"/>
            </w:tcBorders>
            <w:shd w:val="clear" w:color="auto" w:fill="auto"/>
            <w:noWrap/>
            <w:vAlign w:val="bottom"/>
            <w:hideMark/>
          </w:tcPr>
          <w:p w14:paraId="43201A47"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Sweetfern</w:t>
            </w:r>
          </w:p>
        </w:tc>
      </w:tr>
      <w:tr w:rsidR="005B0D74" w:rsidRPr="005B0D74" w14:paraId="3E24B829" w14:textId="77777777" w:rsidTr="005B0D74">
        <w:trPr>
          <w:trHeight w:val="264"/>
        </w:trPr>
        <w:tc>
          <w:tcPr>
            <w:tcW w:w="2990" w:type="dxa"/>
            <w:tcBorders>
              <w:top w:val="nil"/>
              <w:left w:val="nil"/>
              <w:bottom w:val="nil"/>
              <w:right w:val="nil"/>
            </w:tcBorders>
            <w:shd w:val="clear" w:color="auto" w:fill="auto"/>
            <w:noWrap/>
            <w:vAlign w:val="bottom"/>
            <w:hideMark/>
          </w:tcPr>
          <w:p w14:paraId="3D6E0257"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Cornus sericea</w:t>
            </w:r>
          </w:p>
        </w:tc>
        <w:tc>
          <w:tcPr>
            <w:tcW w:w="2976" w:type="dxa"/>
            <w:tcBorders>
              <w:top w:val="nil"/>
              <w:left w:val="nil"/>
              <w:bottom w:val="nil"/>
              <w:right w:val="nil"/>
            </w:tcBorders>
            <w:shd w:val="clear" w:color="auto" w:fill="auto"/>
            <w:noWrap/>
            <w:vAlign w:val="bottom"/>
            <w:hideMark/>
          </w:tcPr>
          <w:p w14:paraId="405CAB4E"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Red Twig Dogwood</w:t>
            </w:r>
          </w:p>
        </w:tc>
      </w:tr>
      <w:tr w:rsidR="005B0D74" w:rsidRPr="005B0D74" w14:paraId="50C55A08" w14:textId="77777777" w:rsidTr="005B0D74">
        <w:trPr>
          <w:trHeight w:val="264"/>
        </w:trPr>
        <w:tc>
          <w:tcPr>
            <w:tcW w:w="2990" w:type="dxa"/>
            <w:tcBorders>
              <w:top w:val="nil"/>
              <w:left w:val="nil"/>
              <w:bottom w:val="nil"/>
              <w:right w:val="nil"/>
            </w:tcBorders>
            <w:shd w:val="clear" w:color="auto" w:fill="auto"/>
            <w:noWrap/>
            <w:vAlign w:val="bottom"/>
            <w:hideMark/>
          </w:tcPr>
          <w:p w14:paraId="21B9DB28"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Ilex glabra</w:t>
            </w:r>
          </w:p>
        </w:tc>
        <w:tc>
          <w:tcPr>
            <w:tcW w:w="2976" w:type="dxa"/>
            <w:tcBorders>
              <w:top w:val="nil"/>
              <w:left w:val="nil"/>
              <w:bottom w:val="nil"/>
              <w:right w:val="nil"/>
            </w:tcBorders>
            <w:shd w:val="clear" w:color="auto" w:fill="auto"/>
            <w:noWrap/>
            <w:vAlign w:val="bottom"/>
            <w:hideMark/>
          </w:tcPr>
          <w:p w14:paraId="72195456"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Inkberry</w:t>
            </w:r>
          </w:p>
        </w:tc>
      </w:tr>
      <w:tr w:rsidR="005B0D74" w:rsidRPr="005B0D74" w14:paraId="6F733C87" w14:textId="77777777" w:rsidTr="005B0D74">
        <w:trPr>
          <w:trHeight w:val="264"/>
        </w:trPr>
        <w:tc>
          <w:tcPr>
            <w:tcW w:w="2990" w:type="dxa"/>
            <w:tcBorders>
              <w:top w:val="nil"/>
              <w:left w:val="nil"/>
              <w:bottom w:val="nil"/>
              <w:right w:val="nil"/>
            </w:tcBorders>
            <w:shd w:val="clear" w:color="auto" w:fill="auto"/>
            <w:noWrap/>
            <w:vAlign w:val="bottom"/>
            <w:hideMark/>
          </w:tcPr>
          <w:p w14:paraId="3E1BC93C"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Hydrangea quercifolia</w:t>
            </w:r>
          </w:p>
        </w:tc>
        <w:tc>
          <w:tcPr>
            <w:tcW w:w="2976" w:type="dxa"/>
            <w:tcBorders>
              <w:top w:val="nil"/>
              <w:left w:val="nil"/>
              <w:bottom w:val="nil"/>
              <w:right w:val="nil"/>
            </w:tcBorders>
            <w:shd w:val="clear" w:color="auto" w:fill="auto"/>
            <w:noWrap/>
            <w:vAlign w:val="bottom"/>
            <w:hideMark/>
          </w:tcPr>
          <w:p w14:paraId="4B03E4F4"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Oakleaf Hydrangea</w:t>
            </w:r>
          </w:p>
        </w:tc>
      </w:tr>
      <w:tr w:rsidR="005B0D74" w:rsidRPr="005B0D74" w14:paraId="79DE66BA" w14:textId="77777777" w:rsidTr="005B0D74">
        <w:trPr>
          <w:trHeight w:val="264"/>
        </w:trPr>
        <w:tc>
          <w:tcPr>
            <w:tcW w:w="2990" w:type="dxa"/>
            <w:tcBorders>
              <w:top w:val="nil"/>
              <w:left w:val="nil"/>
              <w:bottom w:val="nil"/>
              <w:right w:val="nil"/>
            </w:tcBorders>
            <w:shd w:val="clear" w:color="auto" w:fill="auto"/>
            <w:noWrap/>
            <w:vAlign w:val="bottom"/>
            <w:hideMark/>
          </w:tcPr>
          <w:p w14:paraId="32E609B8"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Hypericum kalmianum</w:t>
            </w:r>
          </w:p>
        </w:tc>
        <w:tc>
          <w:tcPr>
            <w:tcW w:w="2976" w:type="dxa"/>
            <w:tcBorders>
              <w:top w:val="nil"/>
              <w:left w:val="nil"/>
              <w:bottom w:val="nil"/>
              <w:right w:val="nil"/>
            </w:tcBorders>
            <w:shd w:val="clear" w:color="auto" w:fill="auto"/>
            <w:noWrap/>
            <w:vAlign w:val="bottom"/>
            <w:hideMark/>
          </w:tcPr>
          <w:p w14:paraId="3E0FA94B"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Kalm St. Johnswort</w:t>
            </w:r>
          </w:p>
        </w:tc>
      </w:tr>
      <w:tr w:rsidR="005B0D74" w:rsidRPr="005B0D74" w14:paraId="2AA66E1D" w14:textId="77777777" w:rsidTr="005B0D74">
        <w:trPr>
          <w:trHeight w:val="264"/>
        </w:trPr>
        <w:tc>
          <w:tcPr>
            <w:tcW w:w="2990" w:type="dxa"/>
            <w:tcBorders>
              <w:top w:val="nil"/>
              <w:left w:val="nil"/>
              <w:bottom w:val="nil"/>
              <w:right w:val="nil"/>
            </w:tcBorders>
            <w:shd w:val="clear" w:color="auto" w:fill="auto"/>
            <w:noWrap/>
            <w:vAlign w:val="bottom"/>
            <w:hideMark/>
          </w:tcPr>
          <w:p w14:paraId="6417EE85"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Morella pensylvanica</w:t>
            </w:r>
          </w:p>
        </w:tc>
        <w:tc>
          <w:tcPr>
            <w:tcW w:w="2976" w:type="dxa"/>
            <w:tcBorders>
              <w:top w:val="nil"/>
              <w:left w:val="nil"/>
              <w:bottom w:val="nil"/>
              <w:right w:val="nil"/>
            </w:tcBorders>
            <w:shd w:val="clear" w:color="auto" w:fill="auto"/>
            <w:noWrap/>
            <w:vAlign w:val="bottom"/>
            <w:hideMark/>
          </w:tcPr>
          <w:p w14:paraId="05265563"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Bayberry</w:t>
            </w:r>
          </w:p>
        </w:tc>
      </w:tr>
      <w:tr w:rsidR="005B0D74" w:rsidRPr="005B0D74" w14:paraId="5753F1BE" w14:textId="77777777" w:rsidTr="005B0D74">
        <w:trPr>
          <w:trHeight w:val="264"/>
        </w:trPr>
        <w:tc>
          <w:tcPr>
            <w:tcW w:w="2990" w:type="dxa"/>
            <w:tcBorders>
              <w:top w:val="nil"/>
              <w:left w:val="nil"/>
              <w:bottom w:val="nil"/>
              <w:right w:val="nil"/>
            </w:tcBorders>
            <w:shd w:val="clear" w:color="auto" w:fill="auto"/>
            <w:noWrap/>
            <w:vAlign w:val="bottom"/>
            <w:hideMark/>
          </w:tcPr>
          <w:p w14:paraId="4DDB1C63"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Physocarpus opulifolius</w:t>
            </w:r>
          </w:p>
        </w:tc>
        <w:tc>
          <w:tcPr>
            <w:tcW w:w="2976" w:type="dxa"/>
            <w:tcBorders>
              <w:top w:val="nil"/>
              <w:left w:val="nil"/>
              <w:bottom w:val="nil"/>
              <w:right w:val="nil"/>
            </w:tcBorders>
            <w:shd w:val="clear" w:color="auto" w:fill="auto"/>
            <w:noWrap/>
            <w:vAlign w:val="bottom"/>
            <w:hideMark/>
          </w:tcPr>
          <w:p w14:paraId="69DCD13D"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Ninebark</w:t>
            </w:r>
          </w:p>
        </w:tc>
      </w:tr>
      <w:tr w:rsidR="005B0D74" w:rsidRPr="005B0D74" w14:paraId="743D04D9" w14:textId="77777777" w:rsidTr="005B0D74">
        <w:trPr>
          <w:trHeight w:val="264"/>
        </w:trPr>
        <w:tc>
          <w:tcPr>
            <w:tcW w:w="2990" w:type="dxa"/>
            <w:tcBorders>
              <w:top w:val="nil"/>
              <w:left w:val="nil"/>
              <w:bottom w:val="nil"/>
              <w:right w:val="nil"/>
            </w:tcBorders>
            <w:shd w:val="clear" w:color="auto" w:fill="auto"/>
            <w:noWrap/>
            <w:vAlign w:val="bottom"/>
            <w:hideMark/>
          </w:tcPr>
          <w:p w14:paraId="4A6DE508"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Rhus aromatica 'Gro Low'</w:t>
            </w:r>
          </w:p>
        </w:tc>
        <w:tc>
          <w:tcPr>
            <w:tcW w:w="2976" w:type="dxa"/>
            <w:tcBorders>
              <w:top w:val="nil"/>
              <w:left w:val="nil"/>
              <w:bottom w:val="nil"/>
              <w:right w:val="nil"/>
            </w:tcBorders>
            <w:shd w:val="clear" w:color="auto" w:fill="auto"/>
            <w:noWrap/>
            <w:vAlign w:val="bottom"/>
            <w:hideMark/>
          </w:tcPr>
          <w:p w14:paraId="74F84A08"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Fragrant Sumac</w:t>
            </w:r>
          </w:p>
        </w:tc>
      </w:tr>
      <w:tr w:rsidR="005B0D74" w:rsidRPr="005B0D74" w14:paraId="1AD03CCD" w14:textId="77777777" w:rsidTr="005B0D74">
        <w:trPr>
          <w:trHeight w:val="264"/>
        </w:trPr>
        <w:tc>
          <w:tcPr>
            <w:tcW w:w="2990" w:type="dxa"/>
            <w:tcBorders>
              <w:top w:val="nil"/>
              <w:left w:val="nil"/>
              <w:bottom w:val="nil"/>
              <w:right w:val="nil"/>
            </w:tcBorders>
            <w:shd w:val="clear" w:color="auto" w:fill="auto"/>
            <w:noWrap/>
            <w:vAlign w:val="bottom"/>
            <w:hideMark/>
          </w:tcPr>
          <w:p w14:paraId="63EFE10E"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Vaccinium sp.</w:t>
            </w:r>
          </w:p>
        </w:tc>
        <w:tc>
          <w:tcPr>
            <w:tcW w:w="2976" w:type="dxa"/>
            <w:tcBorders>
              <w:top w:val="nil"/>
              <w:left w:val="nil"/>
              <w:bottom w:val="nil"/>
              <w:right w:val="nil"/>
            </w:tcBorders>
            <w:shd w:val="clear" w:color="auto" w:fill="auto"/>
            <w:noWrap/>
            <w:vAlign w:val="bottom"/>
            <w:hideMark/>
          </w:tcPr>
          <w:p w14:paraId="0499C968"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Blueberry</w:t>
            </w:r>
          </w:p>
        </w:tc>
      </w:tr>
      <w:tr w:rsidR="005B0D74" w:rsidRPr="005B0D74" w14:paraId="315353A5" w14:textId="77777777" w:rsidTr="005B0D74">
        <w:trPr>
          <w:trHeight w:val="264"/>
        </w:trPr>
        <w:tc>
          <w:tcPr>
            <w:tcW w:w="2990" w:type="dxa"/>
            <w:tcBorders>
              <w:top w:val="nil"/>
              <w:left w:val="nil"/>
              <w:bottom w:val="nil"/>
              <w:right w:val="nil"/>
            </w:tcBorders>
            <w:shd w:val="clear" w:color="auto" w:fill="auto"/>
            <w:noWrap/>
            <w:vAlign w:val="bottom"/>
            <w:hideMark/>
          </w:tcPr>
          <w:p w14:paraId="41B949C8"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Viburnum dentatum</w:t>
            </w:r>
          </w:p>
        </w:tc>
        <w:tc>
          <w:tcPr>
            <w:tcW w:w="2976" w:type="dxa"/>
            <w:tcBorders>
              <w:top w:val="nil"/>
              <w:left w:val="nil"/>
              <w:bottom w:val="nil"/>
              <w:right w:val="nil"/>
            </w:tcBorders>
            <w:shd w:val="clear" w:color="auto" w:fill="auto"/>
            <w:noWrap/>
            <w:vAlign w:val="bottom"/>
            <w:hideMark/>
          </w:tcPr>
          <w:p w14:paraId="7C50582B"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Arrowwood</w:t>
            </w:r>
          </w:p>
        </w:tc>
      </w:tr>
      <w:tr w:rsidR="005B0D74" w:rsidRPr="005B0D74" w14:paraId="326DD298" w14:textId="77777777" w:rsidTr="005B0D74">
        <w:trPr>
          <w:trHeight w:val="264"/>
        </w:trPr>
        <w:tc>
          <w:tcPr>
            <w:tcW w:w="2990" w:type="dxa"/>
            <w:tcBorders>
              <w:top w:val="nil"/>
              <w:left w:val="nil"/>
              <w:bottom w:val="nil"/>
              <w:right w:val="nil"/>
            </w:tcBorders>
            <w:shd w:val="clear" w:color="auto" w:fill="auto"/>
            <w:noWrap/>
            <w:vAlign w:val="bottom"/>
            <w:hideMark/>
          </w:tcPr>
          <w:p w14:paraId="64BCBBAD"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3778DAC7"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1A195C69" w14:textId="77777777" w:rsidTr="005B0D74">
        <w:trPr>
          <w:trHeight w:val="264"/>
        </w:trPr>
        <w:tc>
          <w:tcPr>
            <w:tcW w:w="5966" w:type="dxa"/>
            <w:gridSpan w:val="2"/>
            <w:tcBorders>
              <w:top w:val="nil"/>
              <w:left w:val="nil"/>
              <w:bottom w:val="nil"/>
              <w:right w:val="nil"/>
            </w:tcBorders>
            <w:shd w:val="clear" w:color="auto" w:fill="auto"/>
            <w:noWrap/>
            <w:vAlign w:val="bottom"/>
            <w:hideMark/>
          </w:tcPr>
          <w:p w14:paraId="3A34E3F1"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Perennials/Grasses/Groundcovers</w:t>
            </w:r>
          </w:p>
        </w:tc>
      </w:tr>
      <w:tr w:rsidR="005B0D74" w:rsidRPr="005B0D74" w14:paraId="4BCB52E4" w14:textId="77777777" w:rsidTr="005B0D74">
        <w:trPr>
          <w:trHeight w:val="264"/>
        </w:trPr>
        <w:tc>
          <w:tcPr>
            <w:tcW w:w="2990" w:type="dxa"/>
            <w:tcBorders>
              <w:top w:val="nil"/>
              <w:left w:val="nil"/>
              <w:bottom w:val="nil"/>
              <w:right w:val="nil"/>
            </w:tcBorders>
            <w:shd w:val="clear" w:color="auto" w:fill="auto"/>
            <w:noWrap/>
            <w:vAlign w:val="bottom"/>
            <w:hideMark/>
          </w:tcPr>
          <w:p w14:paraId="59FAE309"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Geum fragarioides</w:t>
            </w:r>
          </w:p>
        </w:tc>
        <w:tc>
          <w:tcPr>
            <w:tcW w:w="2976" w:type="dxa"/>
            <w:tcBorders>
              <w:top w:val="nil"/>
              <w:left w:val="nil"/>
              <w:bottom w:val="nil"/>
              <w:right w:val="nil"/>
            </w:tcBorders>
            <w:shd w:val="clear" w:color="auto" w:fill="auto"/>
            <w:noWrap/>
            <w:vAlign w:val="bottom"/>
            <w:hideMark/>
          </w:tcPr>
          <w:p w14:paraId="08E4C7A2"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Appalachian Barren Strawberry</w:t>
            </w:r>
          </w:p>
        </w:tc>
      </w:tr>
      <w:tr w:rsidR="005B0D74" w:rsidRPr="005B0D74" w14:paraId="087FEAF2" w14:textId="77777777" w:rsidTr="005B0D74">
        <w:trPr>
          <w:trHeight w:val="264"/>
        </w:trPr>
        <w:tc>
          <w:tcPr>
            <w:tcW w:w="2990" w:type="dxa"/>
            <w:tcBorders>
              <w:top w:val="nil"/>
              <w:left w:val="nil"/>
              <w:bottom w:val="nil"/>
              <w:right w:val="nil"/>
            </w:tcBorders>
            <w:shd w:val="clear" w:color="auto" w:fill="auto"/>
            <w:noWrap/>
            <w:vAlign w:val="bottom"/>
            <w:hideMark/>
          </w:tcPr>
          <w:p w14:paraId="5237C1C7"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Geranium maculatum</w:t>
            </w:r>
          </w:p>
        </w:tc>
        <w:tc>
          <w:tcPr>
            <w:tcW w:w="2976" w:type="dxa"/>
            <w:tcBorders>
              <w:top w:val="nil"/>
              <w:left w:val="nil"/>
              <w:bottom w:val="nil"/>
              <w:right w:val="nil"/>
            </w:tcBorders>
            <w:shd w:val="clear" w:color="auto" w:fill="auto"/>
            <w:noWrap/>
            <w:vAlign w:val="bottom"/>
            <w:hideMark/>
          </w:tcPr>
          <w:p w14:paraId="4011DE0A"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Wild Geranium</w:t>
            </w:r>
          </w:p>
        </w:tc>
      </w:tr>
      <w:tr w:rsidR="005B0D74" w:rsidRPr="005B0D74" w14:paraId="3550E968" w14:textId="77777777" w:rsidTr="005B0D74">
        <w:trPr>
          <w:trHeight w:val="264"/>
        </w:trPr>
        <w:tc>
          <w:tcPr>
            <w:tcW w:w="2990" w:type="dxa"/>
            <w:tcBorders>
              <w:top w:val="nil"/>
              <w:left w:val="nil"/>
              <w:bottom w:val="nil"/>
              <w:right w:val="nil"/>
            </w:tcBorders>
            <w:shd w:val="clear" w:color="auto" w:fill="auto"/>
            <w:noWrap/>
            <w:vAlign w:val="bottom"/>
            <w:hideMark/>
          </w:tcPr>
          <w:p w14:paraId="2E64FA11"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Heuchera macrorhiza</w:t>
            </w:r>
          </w:p>
        </w:tc>
        <w:tc>
          <w:tcPr>
            <w:tcW w:w="2976" w:type="dxa"/>
            <w:tcBorders>
              <w:top w:val="nil"/>
              <w:left w:val="nil"/>
              <w:bottom w:val="nil"/>
              <w:right w:val="nil"/>
            </w:tcBorders>
            <w:shd w:val="clear" w:color="auto" w:fill="auto"/>
            <w:noWrap/>
            <w:vAlign w:val="bottom"/>
            <w:hideMark/>
          </w:tcPr>
          <w:p w14:paraId="72DA21D5"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Coral Bells</w:t>
            </w:r>
          </w:p>
        </w:tc>
      </w:tr>
      <w:tr w:rsidR="005B0D74" w:rsidRPr="005B0D74" w14:paraId="461974AC" w14:textId="77777777" w:rsidTr="005B0D74">
        <w:trPr>
          <w:trHeight w:val="264"/>
        </w:trPr>
        <w:tc>
          <w:tcPr>
            <w:tcW w:w="2990" w:type="dxa"/>
            <w:tcBorders>
              <w:top w:val="nil"/>
              <w:left w:val="nil"/>
              <w:bottom w:val="nil"/>
              <w:right w:val="nil"/>
            </w:tcBorders>
            <w:shd w:val="clear" w:color="auto" w:fill="auto"/>
            <w:noWrap/>
            <w:vAlign w:val="bottom"/>
            <w:hideMark/>
          </w:tcPr>
          <w:p w14:paraId="7C170C86"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Oenothera fruticosa</w:t>
            </w:r>
          </w:p>
        </w:tc>
        <w:tc>
          <w:tcPr>
            <w:tcW w:w="2976" w:type="dxa"/>
            <w:tcBorders>
              <w:top w:val="nil"/>
              <w:left w:val="nil"/>
              <w:bottom w:val="nil"/>
              <w:right w:val="nil"/>
            </w:tcBorders>
            <w:shd w:val="clear" w:color="auto" w:fill="auto"/>
            <w:noWrap/>
            <w:vAlign w:val="bottom"/>
            <w:hideMark/>
          </w:tcPr>
          <w:p w14:paraId="1B487767"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Evening Primrose</w:t>
            </w:r>
          </w:p>
        </w:tc>
      </w:tr>
      <w:tr w:rsidR="005B0D74" w:rsidRPr="005B0D74" w14:paraId="106536B8" w14:textId="77777777" w:rsidTr="005B0D74">
        <w:trPr>
          <w:trHeight w:val="264"/>
        </w:trPr>
        <w:tc>
          <w:tcPr>
            <w:tcW w:w="2990" w:type="dxa"/>
            <w:tcBorders>
              <w:top w:val="nil"/>
              <w:left w:val="nil"/>
              <w:bottom w:val="nil"/>
              <w:right w:val="nil"/>
            </w:tcBorders>
            <w:shd w:val="clear" w:color="auto" w:fill="auto"/>
            <w:noWrap/>
            <w:vAlign w:val="bottom"/>
            <w:hideMark/>
          </w:tcPr>
          <w:p w14:paraId="599DC48C"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Osmunda cinnamomea</w:t>
            </w:r>
          </w:p>
        </w:tc>
        <w:tc>
          <w:tcPr>
            <w:tcW w:w="2976" w:type="dxa"/>
            <w:tcBorders>
              <w:top w:val="nil"/>
              <w:left w:val="nil"/>
              <w:bottom w:val="nil"/>
              <w:right w:val="nil"/>
            </w:tcBorders>
            <w:shd w:val="clear" w:color="auto" w:fill="auto"/>
            <w:noWrap/>
            <w:vAlign w:val="bottom"/>
            <w:hideMark/>
          </w:tcPr>
          <w:p w14:paraId="148A1570"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Cinnamon Fern</w:t>
            </w:r>
          </w:p>
        </w:tc>
      </w:tr>
      <w:tr w:rsidR="005B0D74" w:rsidRPr="005B0D74" w14:paraId="0D347291" w14:textId="77777777" w:rsidTr="005B0D74">
        <w:trPr>
          <w:trHeight w:val="264"/>
        </w:trPr>
        <w:tc>
          <w:tcPr>
            <w:tcW w:w="2990" w:type="dxa"/>
            <w:tcBorders>
              <w:top w:val="nil"/>
              <w:left w:val="nil"/>
              <w:bottom w:val="nil"/>
              <w:right w:val="nil"/>
            </w:tcBorders>
            <w:shd w:val="clear" w:color="auto" w:fill="auto"/>
            <w:noWrap/>
            <w:vAlign w:val="bottom"/>
            <w:hideMark/>
          </w:tcPr>
          <w:p w14:paraId="15F0D9D5"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Pycanthemum sp.</w:t>
            </w:r>
          </w:p>
        </w:tc>
        <w:tc>
          <w:tcPr>
            <w:tcW w:w="2976" w:type="dxa"/>
            <w:tcBorders>
              <w:top w:val="nil"/>
              <w:left w:val="nil"/>
              <w:bottom w:val="nil"/>
              <w:right w:val="nil"/>
            </w:tcBorders>
            <w:shd w:val="clear" w:color="auto" w:fill="auto"/>
            <w:noWrap/>
            <w:vAlign w:val="bottom"/>
            <w:hideMark/>
          </w:tcPr>
          <w:p w14:paraId="53E18191"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Mountain Mint</w:t>
            </w:r>
          </w:p>
        </w:tc>
      </w:tr>
      <w:tr w:rsidR="005B0D74" w:rsidRPr="005B0D74" w14:paraId="7EDAF603" w14:textId="77777777" w:rsidTr="005B0D74">
        <w:trPr>
          <w:trHeight w:val="264"/>
        </w:trPr>
        <w:tc>
          <w:tcPr>
            <w:tcW w:w="2990" w:type="dxa"/>
            <w:tcBorders>
              <w:top w:val="nil"/>
              <w:left w:val="nil"/>
              <w:bottom w:val="nil"/>
              <w:right w:val="nil"/>
            </w:tcBorders>
            <w:shd w:val="clear" w:color="auto" w:fill="auto"/>
            <w:noWrap/>
            <w:vAlign w:val="bottom"/>
            <w:hideMark/>
          </w:tcPr>
          <w:p w14:paraId="301BE4D1"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Schizachyrium scoparium</w:t>
            </w:r>
          </w:p>
        </w:tc>
        <w:tc>
          <w:tcPr>
            <w:tcW w:w="2976" w:type="dxa"/>
            <w:tcBorders>
              <w:top w:val="nil"/>
              <w:left w:val="nil"/>
              <w:bottom w:val="nil"/>
              <w:right w:val="nil"/>
            </w:tcBorders>
            <w:shd w:val="clear" w:color="auto" w:fill="auto"/>
            <w:noWrap/>
            <w:vAlign w:val="bottom"/>
            <w:hideMark/>
          </w:tcPr>
          <w:p w14:paraId="3925EBFC"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Little Bluestem</w:t>
            </w:r>
          </w:p>
        </w:tc>
      </w:tr>
      <w:tr w:rsidR="005B0D74" w:rsidRPr="005B0D74" w14:paraId="76E6C02B" w14:textId="77777777" w:rsidTr="005B0D74">
        <w:trPr>
          <w:trHeight w:val="264"/>
        </w:trPr>
        <w:tc>
          <w:tcPr>
            <w:tcW w:w="2990" w:type="dxa"/>
            <w:tcBorders>
              <w:top w:val="nil"/>
              <w:left w:val="nil"/>
              <w:bottom w:val="nil"/>
              <w:right w:val="nil"/>
            </w:tcBorders>
            <w:shd w:val="clear" w:color="auto" w:fill="auto"/>
            <w:noWrap/>
            <w:vAlign w:val="bottom"/>
            <w:hideMark/>
          </w:tcPr>
          <w:p w14:paraId="311CDEA1"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Sporobolus heterolepsis</w:t>
            </w:r>
          </w:p>
        </w:tc>
        <w:tc>
          <w:tcPr>
            <w:tcW w:w="2976" w:type="dxa"/>
            <w:tcBorders>
              <w:top w:val="nil"/>
              <w:left w:val="nil"/>
              <w:bottom w:val="nil"/>
              <w:right w:val="nil"/>
            </w:tcBorders>
            <w:shd w:val="clear" w:color="auto" w:fill="auto"/>
            <w:noWrap/>
            <w:vAlign w:val="bottom"/>
            <w:hideMark/>
          </w:tcPr>
          <w:p w14:paraId="3B95A4F9"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Prairie Dropseed</w:t>
            </w:r>
          </w:p>
        </w:tc>
      </w:tr>
      <w:tr w:rsidR="005B0D74" w:rsidRPr="005B0D74" w14:paraId="28750807" w14:textId="77777777" w:rsidTr="005B0D74">
        <w:trPr>
          <w:trHeight w:val="264"/>
        </w:trPr>
        <w:tc>
          <w:tcPr>
            <w:tcW w:w="2990" w:type="dxa"/>
            <w:tcBorders>
              <w:top w:val="nil"/>
              <w:left w:val="nil"/>
              <w:bottom w:val="nil"/>
              <w:right w:val="nil"/>
            </w:tcBorders>
            <w:shd w:val="clear" w:color="auto" w:fill="auto"/>
            <w:noWrap/>
            <w:vAlign w:val="bottom"/>
            <w:hideMark/>
          </w:tcPr>
          <w:p w14:paraId="0D67180D"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471269E3"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3C1CF8E6" w14:textId="77777777" w:rsidTr="005B0D74">
        <w:trPr>
          <w:trHeight w:val="264"/>
        </w:trPr>
        <w:tc>
          <w:tcPr>
            <w:tcW w:w="2990" w:type="dxa"/>
            <w:tcBorders>
              <w:top w:val="nil"/>
              <w:left w:val="nil"/>
              <w:bottom w:val="nil"/>
              <w:right w:val="nil"/>
            </w:tcBorders>
            <w:shd w:val="clear" w:color="auto" w:fill="auto"/>
            <w:noWrap/>
            <w:vAlign w:val="bottom"/>
            <w:hideMark/>
          </w:tcPr>
          <w:p w14:paraId="2CC1B0DD" w14:textId="77777777" w:rsidR="005B0D74" w:rsidRPr="005B0D74" w:rsidRDefault="005B0D74" w:rsidP="005B0D74">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noWrap/>
            <w:vAlign w:val="bottom"/>
            <w:hideMark/>
          </w:tcPr>
          <w:p w14:paraId="1DAACA3B"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5B910498" w14:textId="77777777" w:rsidTr="005B0D74">
        <w:trPr>
          <w:trHeight w:val="264"/>
        </w:trPr>
        <w:tc>
          <w:tcPr>
            <w:tcW w:w="2990" w:type="dxa"/>
            <w:tcBorders>
              <w:top w:val="nil"/>
              <w:left w:val="nil"/>
              <w:bottom w:val="single" w:sz="4" w:space="0" w:color="auto"/>
              <w:right w:val="nil"/>
            </w:tcBorders>
            <w:shd w:val="clear" w:color="auto" w:fill="auto"/>
            <w:noWrap/>
            <w:vAlign w:val="bottom"/>
            <w:hideMark/>
          </w:tcPr>
          <w:p w14:paraId="3E8563A0" w14:textId="77777777" w:rsidR="005B0D74" w:rsidRPr="005B0D74" w:rsidRDefault="005B0D74" w:rsidP="005B0D74">
            <w:pPr>
              <w:spacing w:after="0" w:line="240" w:lineRule="auto"/>
              <w:rPr>
                <w:rFonts w:eastAsia="Times New Roman" w:cs="Arial"/>
                <w:b/>
                <w:bCs/>
                <w:sz w:val="20"/>
                <w:szCs w:val="20"/>
              </w:rPr>
            </w:pPr>
            <w:r w:rsidRPr="005B0D74">
              <w:rPr>
                <w:rFonts w:eastAsia="Times New Roman" w:cs="Arial"/>
                <w:b/>
                <w:bCs/>
                <w:sz w:val="20"/>
                <w:szCs w:val="20"/>
              </w:rPr>
              <w:t>Buffer Plants</w:t>
            </w:r>
          </w:p>
        </w:tc>
        <w:tc>
          <w:tcPr>
            <w:tcW w:w="2976" w:type="dxa"/>
            <w:tcBorders>
              <w:top w:val="nil"/>
              <w:left w:val="nil"/>
              <w:bottom w:val="single" w:sz="4" w:space="0" w:color="auto"/>
              <w:right w:val="nil"/>
            </w:tcBorders>
            <w:shd w:val="clear" w:color="auto" w:fill="auto"/>
            <w:noWrap/>
            <w:vAlign w:val="bottom"/>
            <w:hideMark/>
          </w:tcPr>
          <w:p w14:paraId="1E4BC353"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 </w:t>
            </w:r>
          </w:p>
        </w:tc>
      </w:tr>
      <w:tr w:rsidR="005B0D74" w:rsidRPr="005B0D74" w14:paraId="392893B7" w14:textId="77777777" w:rsidTr="005B0D74">
        <w:trPr>
          <w:trHeight w:val="264"/>
        </w:trPr>
        <w:tc>
          <w:tcPr>
            <w:tcW w:w="2990" w:type="dxa"/>
            <w:tcBorders>
              <w:top w:val="nil"/>
              <w:left w:val="nil"/>
              <w:bottom w:val="nil"/>
              <w:right w:val="nil"/>
            </w:tcBorders>
            <w:shd w:val="clear" w:color="auto" w:fill="auto"/>
            <w:noWrap/>
            <w:vAlign w:val="bottom"/>
            <w:hideMark/>
          </w:tcPr>
          <w:p w14:paraId="656A12F5"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lastRenderedPageBreak/>
              <w:t>Trees</w:t>
            </w:r>
          </w:p>
        </w:tc>
        <w:tc>
          <w:tcPr>
            <w:tcW w:w="2976" w:type="dxa"/>
            <w:tcBorders>
              <w:top w:val="nil"/>
              <w:left w:val="nil"/>
              <w:bottom w:val="nil"/>
              <w:right w:val="nil"/>
            </w:tcBorders>
            <w:shd w:val="clear" w:color="auto" w:fill="auto"/>
            <w:noWrap/>
            <w:vAlign w:val="bottom"/>
            <w:hideMark/>
          </w:tcPr>
          <w:p w14:paraId="316635BE" w14:textId="77777777" w:rsidR="005B0D74" w:rsidRPr="005B0D74" w:rsidRDefault="005B0D74" w:rsidP="005B0D74">
            <w:pPr>
              <w:spacing w:after="0" w:line="240" w:lineRule="auto"/>
              <w:rPr>
                <w:rFonts w:eastAsia="Times New Roman" w:cs="Arial"/>
                <w:b/>
                <w:bCs/>
                <w:i/>
                <w:iCs/>
                <w:sz w:val="20"/>
                <w:szCs w:val="20"/>
              </w:rPr>
            </w:pPr>
          </w:p>
        </w:tc>
      </w:tr>
      <w:tr w:rsidR="005B0D74" w:rsidRPr="005B0D74" w14:paraId="5C0B2682" w14:textId="77777777" w:rsidTr="005B0D74">
        <w:trPr>
          <w:trHeight w:val="264"/>
        </w:trPr>
        <w:tc>
          <w:tcPr>
            <w:tcW w:w="2990" w:type="dxa"/>
            <w:tcBorders>
              <w:top w:val="nil"/>
              <w:left w:val="nil"/>
              <w:bottom w:val="nil"/>
              <w:right w:val="nil"/>
            </w:tcBorders>
            <w:shd w:val="clear" w:color="auto" w:fill="auto"/>
            <w:noWrap/>
            <w:vAlign w:val="bottom"/>
            <w:hideMark/>
          </w:tcPr>
          <w:p w14:paraId="64B79737"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Acer rubrum</w:t>
            </w:r>
          </w:p>
        </w:tc>
        <w:tc>
          <w:tcPr>
            <w:tcW w:w="2976" w:type="dxa"/>
            <w:tcBorders>
              <w:top w:val="nil"/>
              <w:left w:val="nil"/>
              <w:bottom w:val="nil"/>
              <w:right w:val="nil"/>
            </w:tcBorders>
            <w:shd w:val="clear" w:color="auto" w:fill="auto"/>
            <w:noWrap/>
            <w:vAlign w:val="bottom"/>
            <w:hideMark/>
          </w:tcPr>
          <w:p w14:paraId="7230FA9C"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Red Maple</w:t>
            </w:r>
          </w:p>
        </w:tc>
      </w:tr>
      <w:tr w:rsidR="005B0D74" w:rsidRPr="005B0D74" w14:paraId="0D215C4E" w14:textId="77777777" w:rsidTr="005B0D74">
        <w:trPr>
          <w:trHeight w:val="264"/>
        </w:trPr>
        <w:tc>
          <w:tcPr>
            <w:tcW w:w="2990" w:type="dxa"/>
            <w:tcBorders>
              <w:top w:val="nil"/>
              <w:left w:val="nil"/>
              <w:bottom w:val="nil"/>
              <w:right w:val="nil"/>
            </w:tcBorders>
            <w:shd w:val="clear" w:color="auto" w:fill="auto"/>
            <w:noWrap/>
            <w:vAlign w:val="bottom"/>
            <w:hideMark/>
          </w:tcPr>
          <w:p w14:paraId="32D14289"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Nyssa sylvatica</w:t>
            </w:r>
          </w:p>
        </w:tc>
        <w:tc>
          <w:tcPr>
            <w:tcW w:w="2976" w:type="dxa"/>
            <w:tcBorders>
              <w:top w:val="nil"/>
              <w:left w:val="nil"/>
              <w:bottom w:val="nil"/>
              <w:right w:val="nil"/>
            </w:tcBorders>
            <w:shd w:val="clear" w:color="auto" w:fill="auto"/>
            <w:noWrap/>
            <w:vAlign w:val="bottom"/>
            <w:hideMark/>
          </w:tcPr>
          <w:p w14:paraId="20F25E88"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Tupelo</w:t>
            </w:r>
          </w:p>
        </w:tc>
      </w:tr>
      <w:tr w:rsidR="005B0D74" w:rsidRPr="005B0D74" w14:paraId="6D0DAC72" w14:textId="77777777" w:rsidTr="005B0D74">
        <w:trPr>
          <w:trHeight w:val="264"/>
        </w:trPr>
        <w:tc>
          <w:tcPr>
            <w:tcW w:w="2990" w:type="dxa"/>
            <w:tcBorders>
              <w:top w:val="nil"/>
              <w:left w:val="nil"/>
              <w:bottom w:val="nil"/>
              <w:right w:val="nil"/>
            </w:tcBorders>
            <w:shd w:val="clear" w:color="auto" w:fill="auto"/>
            <w:noWrap/>
            <w:vAlign w:val="bottom"/>
            <w:hideMark/>
          </w:tcPr>
          <w:p w14:paraId="53DEC818"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Prunus serotina</w:t>
            </w:r>
          </w:p>
        </w:tc>
        <w:tc>
          <w:tcPr>
            <w:tcW w:w="2976" w:type="dxa"/>
            <w:tcBorders>
              <w:top w:val="nil"/>
              <w:left w:val="nil"/>
              <w:bottom w:val="nil"/>
              <w:right w:val="nil"/>
            </w:tcBorders>
            <w:shd w:val="clear" w:color="auto" w:fill="auto"/>
            <w:noWrap/>
            <w:vAlign w:val="bottom"/>
            <w:hideMark/>
          </w:tcPr>
          <w:p w14:paraId="24AF1D8F"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Black Cherry</w:t>
            </w:r>
          </w:p>
        </w:tc>
      </w:tr>
      <w:tr w:rsidR="005B0D74" w:rsidRPr="005B0D74" w14:paraId="117D0D14" w14:textId="77777777" w:rsidTr="005B0D74">
        <w:trPr>
          <w:trHeight w:val="264"/>
        </w:trPr>
        <w:tc>
          <w:tcPr>
            <w:tcW w:w="2990" w:type="dxa"/>
            <w:tcBorders>
              <w:top w:val="nil"/>
              <w:left w:val="nil"/>
              <w:bottom w:val="nil"/>
              <w:right w:val="nil"/>
            </w:tcBorders>
            <w:shd w:val="clear" w:color="auto" w:fill="auto"/>
            <w:noWrap/>
            <w:vAlign w:val="bottom"/>
            <w:hideMark/>
          </w:tcPr>
          <w:p w14:paraId="409D85C7"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Quercus alba</w:t>
            </w:r>
          </w:p>
        </w:tc>
        <w:tc>
          <w:tcPr>
            <w:tcW w:w="2976" w:type="dxa"/>
            <w:tcBorders>
              <w:top w:val="nil"/>
              <w:left w:val="nil"/>
              <w:bottom w:val="nil"/>
              <w:right w:val="nil"/>
            </w:tcBorders>
            <w:shd w:val="clear" w:color="auto" w:fill="auto"/>
            <w:noWrap/>
            <w:vAlign w:val="bottom"/>
            <w:hideMark/>
          </w:tcPr>
          <w:p w14:paraId="76220093"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White Oak</w:t>
            </w:r>
          </w:p>
        </w:tc>
      </w:tr>
      <w:tr w:rsidR="005B0D74" w:rsidRPr="005B0D74" w14:paraId="5513586E" w14:textId="77777777" w:rsidTr="005B0D74">
        <w:trPr>
          <w:trHeight w:val="264"/>
        </w:trPr>
        <w:tc>
          <w:tcPr>
            <w:tcW w:w="2990" w:type="dxa"/>
            <w:tcBorders>
              <w:top w:val="nil"/>
              <w:left w:val="nil"/>
              <w:bottom w:val="nil"/>
              <w:right w:val="nil"/>
            </w:tcBorders>
            <w:shd w:val="clear" w:color="auto" w:fill="auto"/>
            <w:noWrap/>
            <w:vAlign w:val="bottom"/>
            <w:hideMark/>
          </w:tcPr>
          <w:p w14:paraId="056B6D8B"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05562698"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07A881A9" w14:textId="77777777" w:rsidTr="005B0D74">
        <w:trPr>
          <w:trHeight w:val="264"/>
        </w:trPr>
        <w:tc>
          <w:tcPr>
            <w:tcW w:w="2990" w:type="dxa"/>
            <w:tcBorders>
              <w:top w:val="nil"/>
              <w:left w:val="nil"/>
              <w:bottom w:val="nil"/>
              <w:right w:val="nil"/>
            </w:tcBorders>
            <w:shd w:val="clear" w:color="auto" w:fill="auto"/>
            <w:noWrap/>
            <w:vAlign w:val="bottom"/>
            <w:hideMark/>
          </w:tcPr>
          <w:p w14:paraId="62344B2D"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Shrubs</w:t>
            </w:r>
          </w:p>
        </w:tc>
        <w:tc>
          <w:tcPr>
            <w:tcW w:w="2976" w:type="dxa"/>
            <w:tcBorders>
              <w:top w:val="nil"/>
              <w:left w:val="nil"/>
              <w:bottom w:val="nil"/>
              <w:right w:val="nil"/>
            </w:tcBorders>
            <w:shd w:val="clear" w:color="auto" w:fill="auto"/>
            <w:noWrap/>
            <w:vAlign w:val="bottom"/>
            <w:hideMark/>
          </w:tcPr>
          <w:p w14:paraId="0B34E7AD" w14:textId="77777777" w:rsidR="005B0D74" w:rsidRPr="005B0D74" w:rsidRDefault="005B0D74" w:rsidP="005B0D74">
            <w:pPr>
              <w:spacing w:after="0" w:line="240" w:lineRule="auto"/>
              <w:rPr>
                <w:rFonts w:eastAsia="Times New Roman" w:cs="Arial"/>
                <w:b/>
                <w:bCs/>
                <w:i/>
                <w:iCs/>
                <w:sz w:val="20"/>
                <w:szCs w:val="20"/>
              </w:rPr>
            </w:pPr>
          </w:p>
        </w:tc>
      </w:tr>
      <w:tr w:rsidR="005B0D74" w:rsidRPr="005B0D74" w14:paraId="39456211" w14:textId="77777777" w:rsidTr="005B0D74">
        <w:trPr>
          <w:trHeight w:val="264"/>
        </w:trPr>
        <w:tc>
          <w:tcPr>
            <w:tcW w:w="2990" w:type="dxa"/>
            <w:tcBorders>
              <w:top w:val="nil"/>
              <w:left w:val="nil"/>
              <w:bottom w:val="nil"/>
              <w:right w:val="nil"/>
            </w:tcBorders>
            <w:shd w:val="clear" w:color="auto" w:fill="auto"/>
            <w:noWrap/>
            <w:vAlign w:val="bottom"/>
            <w:hideMark/>
          </w:tcPr>
          <w:p w14:paraId="6682F181"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Clethra alnifolia</w:t>
            </w:r>
          </w:p>
        </w:tc>
        <w:tc>
          <w:tcPr>
            <w:tcW w:w="2976" w:type="dxa"/>
            <w:tcBorders>
              <w:top w:val="nil"/>
              <w:left w:val="nil"/>
              <w:bottom w:val="nil"/>
              <w:right w:val="nil"/>
            </w:tcBorders>
            <w:shd w:val="clear" w:color="auto" w:fill="auto"/>
            <w:noWrap/>
            <w:vAlign w:val="bottom"/>
            <w:hideMark/>
          </w:tcPr>
          <w:p w14:paraId="4877DC25"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Summersweet Clethra</w:t>
            </w:r>
          </w:p>
        </w:tc>
      </w:tr>
      <w:tr w:rsidR="005B0D74" w:rsidRPr="005B0D74" w14:paraId="5D263F6D" w14:textId="77777777" w:rsidTr="005B0D74">
        <w:trPr>
          <w:trHeight w:val="264"/>
        </w:trPr>
        <w:tc>
          <w:tcPr>
            <w:tcW w:w="2990" w:type="dxa"/>
            <w:tcBorders>
              <w:top w:val="nil"/>
              <w:left w:val="nil"/>
              <w:bottom w:val="nil"/>
              <w:right w:val="nil"/>
            </w:tcBorders>
            <w:shd w:val="clear" w:color="auto" w:fill="auto"/>
            <w:noWrap/>
            <w:vAlign w:val="bottom"/>
            <w:hideMark/>
          </w:tcPr>
          <w:p w14:paraId="35CFEBDC"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Viburnum dentatum</w:t>
            </w:r>
          </w:p>
        </w:tc>
        <w:tc>
          <w:tcPr>
            <w:tcW w:w="2976" w:type="dxa"/>
            <w:tcBorders>
              <w:top w:val="nil"/>
              <w:left w:val="nil"/>
              <w:bottom w:val="nil"/>
              <w:right w:val="nil"/>
            </w:tcBorders>
            <w:shd w:val="clear" w:color="auto" w:fill="auto"/>
            <w:noWrap/>
            <w:vAlign w:val="bottom"/>
            <w:hideMark/>
          </w:tcPr>
          <w:p w14:paraId="04982DEB"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Arrowwood Viburnum</w:t>
            </w:r>
          </w:p>
        </w:tc>
      </w:tr>
      <w:tr w:rsidR="005B0D74" w:rsidRPr="005B0D74" w14:paraId="62329AE0" w14:textId="77777777" w:rsidTr="005B0D74">
        <w:trPr>
          <w:trHeight w:val="264"/>
        </w:trPr>
        <w:tc>
          <w:tcPr>
            <w:tcW w:w="2990" w:type="dxa"/>
            <w:tcBorders>
              <w:top w:val="nil"/>
              <w:left w:val="nil"/>
              <w:bottom w:val="nil"/>
              <w:right w:val="nil"/>
            </w:tcBorders>
            <w:shd w:val="clear" w:color="auto" w:fill="auto"/>
            <w:noWrap/>
            <w:vAlign w:val="bottom"/>
            <w:hideMark/>
          </w:tcPr>
          <w:p w14:paraId="1F5C1523"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2AA39FB5"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3A88B56B" w14:textId="77777777" w:rsidTr="005B0D74">
        <w:trPr>
          <w:trHeight w:val="264"/>
        </w:trPr>
        <w:tc>
          <w:tcPr>
            <w:tcW w:w="5966" w:type="dxa"/>
            <w:gridSpan w:val="2"/>
            <w:tcBorders>
              <w:top w:val="nil"/>
              <w:left w:val="nil"/>
              <w:bottom w:val="nil"/>
              <w:right w:val="nil"/>
            </w:tcBorders>
            <w:shd w:val="clear" w:color="auto" w:fill="auto"/>
            <w:noWrap/>
            <w:vAlign w:val="bottom"/>
            <w:hideMark/>
          </w:tcPr>
          <w:p w14:paraId="4A6C5F16"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Perennials/Grasses/Groundcovers</w:t>
            </w:r>
          </w:p>
        </w:tc>
      </w:tr>
      <w:tr w:rsidR="005B0D74" w:rsidRPr="005B0D74" w14:paraId="0C6291D4" w14:textId="77777777" w:rsidTr="005B0D74">
        <w:trPr>
          <w:trHeight w:val="264"/>
        </w:trPr>
        <w:tc>
          <w:tcPr>
            <w:tcW w:w="2990" w:type="dxa"/>
            <w:tcBorders>
              <w:top w:val="nil"/>
              <w:left w:val="nil"/>
              <w:bottom w:val="nil"/>
              <w:right w:val="nil"/>
            </w:tcBorders>
            <w:shd w:val="clear" w:color="auto" w:fill="auto"/>
            <w:noWrap/>
            <w:vAlign w:val="bottom"/>
            <w:hideMark/>
          </w:tcPr>
          <w:p w14:paraId="29A4AF53"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Carex sp.</w:t>
            </w:r>
          </w:p>
        </w:tc>
        <w:tc>
          <w:tcPr>
            <w:tcW w:w="2976" w:type="dxa"/>
            <w:tcBorders>
              <w:top w:val="nil"/>
              <w:left w:val="nil"/>
              <w:bottom w:val="nil"/>
              <w:right w:val="nil"/>
            </w:tcBorders>
            <w:shd w:val="clear" w:color="auto" w:fill="auto"/>
            <w:noWrap/>
            <w:vAlign w:val="bottom"/>
            <w:hideMark/>
          </w:tcPr>
          <w:p w14:paraId="2DE6DABF"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Sedge sp.</w:t>
            </w:r>
          </w:p>
        </w:tc>
      </w:tr>
      <w:tr w:rsidR="005B0D74" w:rsidRPr="005B0D74" w14:paraId="249FAEFF" w14:textId="77777777" w:rsidTr="005B0D74">
        <w:trPr>
          <w:trHeight w:val="264"/>
        </w:trPr>
        <w:tc>
          <w:tcPr>
            <w:tcW w:w="2990" w:type="dxa"/>
            <w:tcBorders>
              <w:top w:val="nil"/>
              <w:left w:val="nil"/>
              <w:bottom w:val="nil"/>
              <w:right w:val="nil"/>
            </w:tcBorders>
            <w:shd w:val="clear" w:color="auto" w:fill="auto"/>
            <w:noWrap/>
            <w:vAlign w:val="center"/>
            <w:hideMark/>
          </w:tcPr>
          <w:p w14:paraId="3C812D96"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Osmunda cinnamomea</w:t>
            </w:r>
          </w:p>
        </w:tc>
        <w:tc>
          <w:tcPr>
            <w:tcW w:w="2976" w:type="dxa"/>
            <w:tcBorders>
              <w:top w:val="nil"/>
              <w:left w:val="nil"/>
              <w:bottom w:val="nil"/>
              <w:right w:val="nil"/>
            </w:tcBorders>
            <w:shd w:val="clear" w:color="auto" w:fill="auto"/>
            <w:noWrap/>
            <w:vAlign w:val="center"/>
            <w:hideMark/>
          </w:tcPr>
          <w:p w14:paraId="42BE967A"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Cinnamon Fern</w:t>
            </w:r>
          </w:p>
        </w:tc>
      </w:tr>
      <w:tr w:rsidR="005B0D74" w:rsidRPr="005B0D74" w14:paraId="3D3C6C8D" w14:textId="77777777" w:rsidTr="005B0D74">
        <w:trPr>
          <w:trHeight w:val="264"/>
        </w:trPr>
        <w:tc>
          <w:tcPr>
            <w:tcW w:w="2990" w:type="dxa"/>
            <w:tcBorders>
              <w:top w:val="nil"/>
              <w:left w:val="nil"/>
              <w:bottom w:val="nil"/>
              <w:right w:val="nil"/>
            </w:tcBorders>
            <w:shd w:val="clear" w:color="auto" w:fill="auto"/>
            <w:noWrap/>
            <w:vAlign w:val="bottom"/>
            <w:hideMark/>
          </w:tcPr>
          <w:p w14:paraId="1D093CF6"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0674786C"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04E49AD6" w14:textId="77777777" w:rsidTr="005B0D74">
        <w:trPr>
          <w:trHeight w:val="264"/>
        </w:trPr>
        <w:tc>
          <w:tcPr>
            <w:tcW w:w="2990" w:type="dxa"/>
            <w:tcBorders>
              <w:top w:val="nil"/>
              <w:left w:val="nil"/>
              <w:bottom w:val="single" w:sz="4" w:space="0" w:color="auto"/>
              <w:right w:val="nil"/>
            </w:tcBorders>
            <w:shd w:val="clear" w:color="auto" w:fill="auto"/>
            <w:noWrap/>
            <w:vAlign w:val="bottom"/>
            <w:hideMark/>
          </w:tcPr>
          <w:p w14:paraId="521D223B" w14:textId="77777777" w:rsidR="005B0D74" w:rsidRPr="005B0D74" w:rsidRDefault="005B0D74" w:rsidP="005B0D74">
            <w:pPr>
              <w:spacing w:after="0" w:line="240" w:lineRule="auto"/>
              <w:rPr>
                <w:rFonts w:eastAsia="Times New Roman" w:cs="Arial"/>
                <w:b/>
                <w:bCs/>
                <w:sz w:val="20"/>
                <w:szCs w:val="20"/>
              </w:rPr>
            </w:pPr>
            <w:r w:rsidRPr="005B0D74">
              <w:rPr>
                <w:rFonts w:eastAsia="Times New Roman" w:cs="Arial"/>
                <w:b/>
                <w:bCs/>
                <w:sz w:val="20"/>
                <w:szCs w:val="20"/>
              </w:rPr>
              <w:t>Parking Lot Islands</w:t>
            </w:r>
          </w:p>
        </w:tc>
        <w:tc>
          <w:tcPr>
            <w:tcW w:w="2976" w:type="dxa"/>
            <w:tcBorders>
              <w:top w:val="nil"/>
              <w:left w:val="nil"/>
              <w:bottom w:val="single" w:sz="4" w:space="0" w:color="auto"/>
              <w:right w:val="nil"/>
            </w:tcBorders>
            <w:shd w:val="clear" w:color="auto" w:fill="auto"/>
            <w:noWrap/>
            <w:vAlign w:val="bottom"/>
            <w:hideMark/>
          </w:tcPr>
          <w:p w14:paraId="42B71670"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 </w:t>
            </w:r>
          </w:p>
        </w:tc>
      </w:tr>
      <w:tr w:rsidR="005B0D74" w:rsidRPr="005B0D74" w14:paraId="34AB06D4" w14:textId="77777777" w:rsidTr="005B0D74">
        <w:trPr>
          <w:trHeight w:val="264"/>
        </w:trPr>
        <w:tc>
          <w:tcPr>
            <w:tcW w:w="2990" w:type="dxa"/>
            <w:tcBorders>
              <w:top w:val="nil"/>
              <w:left w:val="nil"/>
              <w:bottom w:val="nil"/>
              <w:right w:val="nil"/>
            </w:tcBorders>
            <w:shd w:val="clear" w:color="auto" w:fill="auto"/>
            <w:noWrap/>
            <w:vAlign w:val="bottom"/>
            <w:hideMark/>
          </w:tcPr>
          <w:p w14:paraId="5114B68B"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Shrubs</w:t>
            </w:r>
          </w:p>
        </w:tc>
        <w:tc>
          <w:tcPr>
            <w:tcW w:w="2976" w:type="dxa"/>
            <w:tcBorders>
              <w:top w:val="nil"/>
              <w:left w:val="nil"/>
              <w:bottom w:val="nil"/>
              <w:right w:val="nil"/>
            </w:tcBorders>
            <w:shd w:val="clear" w:color="auto" w:fill="auto"/>
            <w:noWrap/>
            <w:vAlign w:val="bottom"/>
            <w:hideMark/>
          </w:tcPr>
          <w:p w14:paraId="22ABD22E" w14:textId="77777777" w:rsidR="005B0D74" w:rsidRPr="005B0D74" w:rsidRDefault="005B0D74" w:rsidP="005B0D74">
            <w:pPr>
              <w:spacing w:after="0" w:line="240" w:lineRule="auto"/>
              <w:rPr>
                <w:rFonts w:eastAsia="Times New Roman" w:cs="Arial"/>
                <w:b/>
                <w:bCs/>
                <w:i/>
                <w:iCs/>
                <w:sz w:val="20"/>
                <w:szCs w:val="20"/>
              </w:rPr>
            </w:pPr>
          </w:p>
        </w:tc>
      </w:tr>
      <w:tr w:rsidR="005B0D74" w:rsidRPr="005B0D74" w14:paraId="588E59B0" w14:textId="77777777" w:rsidTr="005B0D74">
        <w:trPr>
          <w:trHeight w:val="264"/>
        </w:trPr>
        <w:tc>
          <w:tcPr>
            <w:tcW w:w="2990" w:type="dxa"/>
            <w:tcBorders>
              <w:top w:val="nil"/>
              <w:left w:val="nil"/>
              <w:bottom w:val="nil"/>
              <w:right w:val="nil"/>
            </w:tcBorders>
            <w:shd w:val="clear" w:color="auto" w:fill="auto"/>
            <w:noWrap/>
            <w:vAlign w:val="bottom"/>
            <w:hideMark/>
          </w:tcPr>
          <w:p w14:paraId="2031BDDF"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Comptonia peregrina</w:t>
            </w:r>
          </w:p>
        </w:tc>
        <w:tc>
          <w:tcPr>
            <w:tcW w:w="2976" w:type="dxa"/>
            <w:tcBorders>
              <w:top w:val="nil"/>
              <w:left w:val="nil"/>
              <w:bottom w:val="nil"/>
              <w:right w:val="nil"/>
            </w:tcBorders>
            <w:shd w:val="clear" w:color="auto" w:fill="auto"/>
            <w:noWrap/>
            <w:vAlign w:val="bottom"/>
            <w:hideMark/>
          </w:tcPr>
          <w:p w14:paraId="2F4DD919"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Sweetfern</w:t>
            </w:r>
          </w:p>
        </w:tc>
      </w:tr>
      <w:tr w:rsidR="005B0D74" w:rsidRPr="005B0D74" w14:paraId="05DD2A77" w14:textId="77777777" w:rsidTr="005B0D74">
        <w:trPr>
          <w:trHeight w:val="264"/>
        </w:trPr>
        <w:tc>
          <w:tcPr>
            <w:tcW w:w="2990" w:type="dxa"/>
            <w:tcBorders>
              <w:top w:val="nil"/>
              <w:left w:val="nil"/>
              <w:bottom w:val="nil"/>
              <w:right w:val="nil"/>
            </w:tcBorders>
            <w:shd w:val="clear" w:color="auto" w:fill="auto"/>
            <w:noWrap/>
            <w:vAlign w:val="bottom"/>
            <w:hideMark/>
          </w:tcPr>
          <w:p w14:paraId="6813AB52"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Hypericum sp.</w:t>
            </w:r>
          </w:p>
        </w:tc>
        <w:tc>
          <w:tcPr>
            <w:tcW w:w="2976" w:type="dxa"/>
            <w:tcBorders>
              <w:top w:val="nil"/>
              <w:left w:val="nil"/>
              <w:bottom w:val="nil"/>
              <w:right w:val="nil"/>
            </w:tcBorders>
            <w:shd w:val="clear" w:color="auto" w:fill="auto"/>
            <w:noWrap/>
            <w:vAlign w:val="bottom"/>
            <w:hideMark/>
          </w:tcPr>
          <w:p w14:paraId="55A068B1"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St. Johnswort</w:t>
            </w:r>
          </w:p>
        </w:tc>
      </w:tr>
      <w:tr w:rsidR="005B0D74" w:rsidRPr="005B0D74" w14:paraId="66C4DA96" w14:textId="77777777" w:rsidTr="005B0D74">
        <w:trPr>
          <w:trHeight w:val="264"/>
        </w:trPr>
        <w:tc>
          <w:tcPr>
            <w:tcW w:w="2990" w:type="dxa"/>
            <w:tcBorders>
              <w:top w:val="nil"/>
              <w:left w:val="nil"/>
              <w:bottom w:val="nil"/>
              <w:right w:val="nil"/>
            </w:tcBorders>
            <w:shd w:val="clear" w:color="auto" w:fill="auto"/>
            <w:noWrap/>
            <w:vAlign w:val="bottom"/>
            <w:hideMark/>
          </w:tcPr>
          <w:p w14:paraId="10B2DABE"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Rhus aromatica 'Gro Low'</w:t>
            </w:r>
          </w:p>
        </w:tc>
        <w:tc>
          <w:tcPr>
            <w:tcW w:w="2976" w:type="dxa"/>
            <w:tcBorders>
              <w:top w:val="nil"/>
              <w:left w:val="nil"/>
              <w:bottom w:val="nil"/>
              <w:right w:val="nil"/>
            </w:tcBorders>
            <w:shd w:val="clear" w:color="auto" w:fill="auto"/>
            <w:noWrap/>
            <w:vAlign w:val="bottom"/>
            <w:hideMark/>
          </w:tcPr>
          <w:p w14:paraId="387E77C0"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Fragrant Sumac</w:t>
            </w:r>
          </w:p>
        </w:tc>
      </w:tr>
      <w:tr w:rsidR="005B0D74" w:rsidRPr="005B0D74" w14:paraId="6140788C" w14:textId="77777777" w:rsidTr="005B0D74">
        <w:trPr>
          <w:trHeight w:val="264"/>
        </w:trPr>
        <w:tc>
          <w:tcPr>
            <w:tcW w:w="2990" w:type="dxa"/>
            <w:tcBorders>
              <w:top w:val="nil"/>
              <w:left w:val="nil"/>
              <w:bottom w:val="nil"/>
              <w:right w:val="nil"/>
            </w:tcBorders>
            <w:shd w:val="clear" w:color="auto" w:fill="auto"/>
            <w:noWrap/>
            <w:vAlign w:val="bottom"/>
            <w:hideMark/>
          </w:tcPr>
          <w:p w14:paraId="2902A487"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656EA86E"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7BC336CB" w14:textId="77777777" w:rsidTr="005B0D74">
        <w:trPr>
          <w:trHeight w:val="264"/>
        </w:trPr>
        <w:tc>
          <w:tcPr>
            <w:tcW w:w="5966" w:type="dxa"/>
            <w:gridSpan w:val="2"/>
            <w:tcBorders>
              <w:top w:val="nil"/>
              <w:left w:val="nil"/>
              <w:bottom w:val="nil"/>
              <w:right w:val="nil"/>
            </w:tcBorders>
            <w:shd w:val="clear" w:color="auto" w:fill="auto"/>
            <w:noWrap/>
            <w:vAlign w:val="bottom"/>
            <w:hideMark/>
          </w:tcPr>
          <w:p w14:paraId="015D84FB"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Perennials/Grasses/Groundcovers</w:t>
            </w:r>
          </w:p>
        </w:tc>
      </w:tr>
      <w:tr w:rsidR="005B0D74" w:rsidRPr="005B0D74" w14:paraId="71843157" w14:textId="77777777" w:rsidTr="005B0D74">
        <w:trPr>
          <w:trHeight w:val="264"/>
        </w:trPr>
        <w:tc>
          <w:tcPr>
            <w:tcW w:w="2990" w:type="dxa"/>
            <w:tcBorders>
              <w:top w:val="nil"/>
              <w:left w:val="nil"/>
              <w:bottom w:val="nil"/>
              <w:right w:val="nil"/>
            </w:tcBorders>
            <w:shd w:val="clear" w:color="auto" w:fill="auto"/>
            <w:noWrap/>
            <w:vAlign w:val="bottom"/>
            <w:hideMark/>
          </w:tcPr>
          <w:p w14:paraId="0B1A10FF"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Coreopsis sp.</w:t>
            </w:r>
          </w:p>
        </w:tc>
        <w:tc>
          <w:tcPr>
            <w:tcW w:w="2976" w:type="dxa"/>
            <w:tcBorders>
              <w:top w:val="nil"/>
              <w:left w:val="nil"/>
              <w:bottom w:val="nil"/>
              <w:right w:val="nil"/>
            </w:tcBorders>
            <w:shd w:val="clear" w:color="auto" w:fill="auto"/>
            <w:noWrap/>
            <w:vAlign w:val="bottom"/>
            <w:hideMark/>
          </w:tcPr>
          <w:p w14:paraId="020AC069"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Coreopsis</w:t>
            </w:r>
          </w:p>
        </w:tc>
      </w:tr>
      <w:tr w:rsidR="005B0D74" w:rsidRPr="005B0D74" w14:paraId="56510EBD" w14:textId="77777777" w:rsidTr="005B0D74">
        <w:trPr>
          <w:trHeight w:val="264"/>
        </w:trPr>
        <w:tc>
          <w:tcPr>
            <w:tcW w:w="2990" w:type="dxa"/>
            <w:tcBorders>
              <w:top w:val="nil"/>
              <w:left w:val="nil"/>
              <w:bottom w:val="nil"/>
              <w:right w:val="nil"/>
            </w:tcBorders>
            <w:shd w:val="clear" w:color="auto" w:fill="auto"/>
            <w:noWrap/>
            <w:vAlign w:val="bottom"/>
            <w:hideMark/>
          </w:tcPr>
          <w:p w14:paraId="7765D575"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Baptisia tinctoria</w:t>
            </w:r>
          </w:p>
        </w:tc>
        <w:tc>
          <w:tcPr>
            <w:tcW w:w="2976" w:type="dxa"/>
            <w:tcBorders>
              <w:top w:val="nil"/>
              <w:left w:val="nil"/>
              <w:bottom w:val="nil"/>
              <w:right w:val="nil"/>
            </w:tcBorders>
            <w:shd w:val="clear" w:color="auto" w:fill="auto"/>
            <w:noWrap/>
            <w:vAlign w:val="bottom"/>
            <w:hideMark/>
          </w:tcPr>
          <w:p w14:paraId="18BAEE34"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Yellow Wild Indigo</w:t>
            </w:r>
          </w:p>
        </w:tc>
      </w:tr>
      <w:tr w:rsidR="005B0D74" w:rsidRPr="005B0D74" w14:paraId="1F13B8E3" w14:textId="77777777" w:rsidTr="005B0D74">
        <w:trPr>
          <w:trHeight w:val="264"/>
        </w:trPr>
        <w:tc>
          <w:tcPr>
            <w:tcW w:w="2990" w:type="dxa"/>
            <w:tcBorders>
              <w:top w:val="nil"/>
              <w:left w:val="nil"/>
              <w:bottom w:val="nil"/>
              <w:right w:val="nil"/>
            </w:tcBorders>
            <w:shd w:val="clear" w:color="auto" w:fill="auto"/>
            <w:noWrap/>
            <w:vAlign w:val="bottom"/>
            <w:hideMark/>
          </w:tcPr>
          <w:p w14:paraId="7EAF5E4B"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Eupatorium hyssopifolium</w:t>
            </w:r>
          </w:p>
        </w:tc>
        <w:tc>
          <w:tcPr>
            <w:tcW w:w="2976" w:type="dxa"/>
            <w:tcBorders>
              <w:top w:val="nil"/>
              <w:left w:val="nil"/>
              <w:bottom w:val="nil"/>
              <w:right w:val="nil"/>
            </w:tcBorders>
            <w:shd w:val="clear" w:color="auto" w:fill="auto"/>
            <w:noWrap/>
            <w:vAlign w:val="bottom"/>
            <w:hideMark/>
          </w:tcPr>
          <w:p w14:paraId="28C16A32"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Hyssop Leaved Boneset</w:t>
            </w:r>
          </w:p>
        </w:tc>
      </w:tr>
      <w:tr w:rsidR="005B0D74" w:rsidRPr="005B0D74" w14:paraId="7CF1CBFE" w14:textId="77777777" w:rsidTr="005B0D74">
        <w:trPr>
          <w:trHeight w:val="264"/>
        </w:trPr>
        <w:tc>
          <w:tcPr>
            <w:tcW w:w="2990" w:type="dxa"/>
            <w:tcBorders>
              <w:top w:val="nil"/>
              <w:left w:val="nil"/>
              <w:bottom w:val="nil"/>
              <w:right w:val="nil"/>
            </w:tcBorders>
            <w:shd w:val="clear" w:color="auto" w:fill="auto"/>
            <w:noWrap/>
            <w:vAlign w:val="bottom"/>
            <w:hideMark/>
          </w:tcPr>
          <w:p w14:paraId="52A8A332"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Geum fragarioides</w:t>
            </w:r>
          </w:p>
        </w:tc>
        <w:tc>
          <w:tcPr>
            <w:tcW w:w="2976" w:type="dxa"/>
            <w:tcBorders>
              <w:top w:val="nil"/>
              <w:left w:val="nil"/>
              <w:bottom w:val="nil"/>
              <w:right w:val="nil"/>
            </w:tcBorders>
            <w:shd w:val="clear" w:color="auto" w:fill="auto"/>
            <w:noWrap/>
            <w:vAlign w:val="bottom"/>
            <w:hideMark/>
          </w:tcPr>
          <w:p w14:paraId="2A89A0FD"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Appalachian Barren Strawberry</w:t>
            </w:r>
          </w:p>
        </w:tc>
      </w:tr>
      <w:tr w:rsidR="005B0D74" w:rsidRPr="005B0D74" w14:paraId="62983DF1" w14:textId="77777777" w:rsidTr="005B0D74">
        <w:trPr>
          <w:trHeight w:val="264"/>
        </w:trPr>
        <w:tc>
          <w:tcPr>
            <w:tcW w:w="2990" w:type="dxa"/>
            <w:tcBorders>
              <w:top w:val="nil"/>
              <w:left w:val="nil"/>
              <w:bottom w:val="nil"/>
              <w:right w:val="nil"/>
            </w:tcBorders>
            <w:shd w:val="clear" w:color="auto" w:fill="auto"/>
            <w:noWrap/>
            <w:vAlign w:val="bottom"/>
            <w:hideMark/>
          </w:tcPr>
          <w:p w14:paraId="632BD76B"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Oenothera fruticosa</w:t>
            </w:r>
          </w:p>
        </w:tc>
        <w:tc>
          <w:tcPr>
            <w:tcW w:w="2976" w:type="dxa"/>
            <w:tcBorders>
              <w:top w:val="nil"/>
              <w:left w:val="nil"/>
              <w:bottom w:val="nil"/>
              <w:right w:val="nil"/>
            </w:tcBorders>
            <w:shd w:val="clear" w:color="auto" w:fill="auto"/>
            <w:noWrap/>
            <w:vAlign w:val="bottom"/>
            <w:hideMark/>
          </w:tcPr>
          <w:p w14:paraId="23F3FF5C"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Sundrops</w:t>
            </w:r>
          </w:p>
        </w:tc>
      </w:tr>
      <w:tr w:rsidR="005B0D74" w:rsidRPr="005B0D74" w14:paraId="592D2C67" w14:textId="77777777" w:rsidTr="005B0D74">
        <w:trPr>
          <w:trHeight w:val="264"/>
        </w:trPr>
        <w:tc>
          <w:tcPr>
            <w:tcW w:w="2990" w:type="dxa"/>
            <w:tcBorders>
              <w:top w:val="nil"/>
              <w:left w:val="nil"/>
              <w:bottom w:val="nil"/>
              <w:right w:val="nil"/>
            </w:tcBorders>
            <w:shd w:val="clear" w:color="auto" w:fill="auto"/>
            <w:noWrap/>
            <w:vAlign w:val="bottom"/>
            <w:hideMark/>
          </w:tcPr>
          <w:p w14:paraId="058D385F"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Sporobolus heterolepsis</w:t>
            </w:r>
          </w:p>
        </w:tc>
        <w:tc>
          <w:tcPr>
            <w:tcW w:w="2976" w:type="dxa"/>
            <w:tcBorders>
              <w:top w:val="nil"/>
              <w:left w:val="nil"/>
              <w:bottom w:val="nil"/>
              <w:right w:val="nil"/>
            </w:tcBorders>
            <w:shd w:val="clear" w:color="auto" w:fill="auto"/>
            <w:noWrap/>
            <w:vAlign w:val="bottom"/>
            <w:hideMark/>
          </w:tcPr>
          <w:p w14:paraId="15B8449E"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Prairie Dropseed</w:t>
            </w:r>
          </w:p>
        </w:tc>
      </w:tr>
      <w:tr w:rsidR="005B0D74" w:rsidRPr="005B0D74" w14:paraId="0C9803A6" w14:textId="77777777" w:rsidTr="005B0D74">
        <w:trPr>
          <w:trHeight w:val="264"/>
        </w:trPr>
        <w:tc>
          <w:tcPr>
            <w:tcW w:w="2990" w:type="dxa"/>
            <w:tcBorders>
              <w:top w:val="nil"/>
              <w:left w:val="nil"/>
              <w:bottom w:val="nil"/>
              <w:right w:val="nil"/>
            </w:tcBorders>
            <w:shd w:val="clear" w:color="auto" w:fill="auto"/>
            <w:noWrap/>
            <w:vAlign w:val="bottom"/>
            <w:hideMark/>
          </w:tcPr>
          <w:p w14:paraId="350D3E71"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5821326A"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5203C29F" w14:textId="77777777" w:rsidTr="005B0D74">
        <w:trPr>
          <w:trHeight w:val="264"/>
        </w:trPr>
        <w:tc>
          <w:tcPr>
            <w:tcW w:w="2990" w:type="dxa"/>
            <w:tcBorders>
              <w:top w:val="nil"/>
              <w:left w:val="nil"/>
              <w:bottom w:val="single" w:sz="4" w:space="0" w:color="auto"/>
              <w:right w:val="nil"/>
            </w:tcBorders>
            <w:shd w:val="clear" w:color="auto" w:fill="auto"/>
            <w:noWrap/>
            <w:vAlign w:val="bottom"/>
            <w:hideMark/>
          </w:tcPr>
          <w:p w14:paraId="3ED0A370" w14:textId="77777777" w:rsidR="005B0D74" w:rsidRPr="005B0D74" w:rsidRDefault="005B0D74" w:rsidP="005B0D74">
            <w:pPr>
              <w:spacing w:after="0" w:line="240" w:lineRule="auto"/>
              <w:rPr>
                <w:rFonts w:eastAsia="Times New Roman" w:cs="Arial"/>
                <w:b/>
                <w:bCs/>
                <w:sz w:val="20"/>
                <w:szCs w:val="20"/>
              </w:rPr>
            </w:pPr>
            <w:r w:rsidRPr="005B0D74">
              <w:rPr>
                <w:rFonts w:eastAsia="Times New Roman" w:cs="Arial"/>
                <w:b/>
                <w:bCs/>
                <w:sz w:val="20"/>
                <w:szCs w:val="20"/>
              </w:rPr>
              <w:t>Stormwater Management Areas</w:t>
            </w:r>
          </w:p>
        </w:tc>
        <w:tc>
          <w:tcPr>
            <w:tcW w:w="2976" w:type="dxa"/>
            <w:tcBorders>
              <w:top w:val="nil"/>
              <w:left w:val="nil"/>
              <w:bottom w:val="single" w:sz="4" w:space="0" w:color="auto"/>
              <w:right w:val="nil"/>
            </w:tcBorders>
            <w:shd w:val="clear" w:color="auto" w:fill="auto"/>
            <w:noWrap/>
            <w:vAlign w:val="bottom"/>
            <w:hideMark/>
          </w:tcPr>
          <w:p w14:paraId="651AD900"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 </w:t>
            </w:r>
          </w:p>
        </w:tc>
      </w:tr>
      <w:tr w:rsidR="005B0D74" w:rsidRPr="005B0D74" w14:paraId="66BF5367" w14:textId="77777777" w:rsidTr="005B0D74">
        <w:trPr>
          <w:trHeight w:val="264"/>
        </w:trPr>
        <w:tc>
          <w:tcPr>
            <w:tcW w:w="2990" w:type="dxa"/>
            <w:tcBorders>
              <w:top w:val="nil"/>
              <w:left w:val="nil"/>
              <w:bottom w:val="nil"/>
              <w:right w:val="nil"/>
            </w:tcBorders>
            <w:shd w:val="clear" w:color="auto" w:fill="auto"/>
            <w:noWrap/>
            <w:vAlign w:val="bottom"/>
            <w:hideMark/>
          </w:tcPr>
          <w:p w14:paraId="754E1DA2"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Trees</w:t>
            </w:r>
          </w:p>
        </w:tc>
        <w:tc>
          <w:tcPr>
            <w:tcW w:w="2976" w:type="dxa"/>
            <w:tcBorders>
              <w:top w:val="nil"/>
              <w:left w:val="nil"/>
              <w:bottom w:val="nil"/>
              <w:right w:val="nil"/>
            </w:tcBorders>
            <w:shd w:val="clear" w:color="auto" w:fill="auto"/>
            <w:noWrap/>
            <w:vAlign w:val="bottom"/>
            <w:hideMark/>
          </w:tcPr>
          <w:p w14:paraId="50D3C1D1" w14:textId="77777777" w:rsidR="005B0D74" w:rsidRPr="005B0D74" w:rsidRDefault="005B0D74" w:rsidP="005B0D74">
            <w:pPr>
              <w:spacing w:after="0" w:line="240" w:lineRule="auto"/>
              <w:rPr>
                <w:rFonts w:eastAsia="Times New Roman" w:cs="Arial"/>
                <w:b/>
                <w:bCs/>
                <w:i/>
                <w:iCs/>
                <w:sz w:val="20"/>
                <w:szCs w:val="20"/>
              </w:rPr>
            </w:pPr>
          </w:p>
        </w:tc>
      </w:tr>
      <w:tr w:rsidR="005B0D74" w:rsidRPr="005B0D74" w14:paraId="46A34439" w14:textId="77777777" w:rsidTr="005B0D74">
        <w:trPr>
          <w:trHeight w:val="264"/>
        </w:trPr>
        <w:tc>
          <w:tcPr>
            <w:tcW w:w="2990" w:type="dxa"/>
            <w:tcBorders>
              <w:top w:val="nil"/>
              <w:left w:val="nil"/>
              <w:bottom w:val="nil"/>
              <w:right w:val="nil"/>
            </w:tcBorders>
            <w:shd w:val="clear" w:color="auto" w:fill="auto"/>
            <w:noWrap/>
            <w:vAlign w:val="bottom"/>
            <w:hideMark/>
          </w:tcPr>
          <w:p w14:paraId="54EF8682"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Betula sp.</w:t>
            </w:r>
          </w:p>
        </w:tc>
        <w:tc>
          <w:tcPr>
            <w:tcW w:w="2976" w:type="dxa"/>
            <w:tcBorders>
              <w:top w:val="nil"/>
              <w:left w:val="nil"/>
              <w:bottom w:val="nil"/>
              <w:right w:val="nil"/>
            </w:tcBorders>
            <w:shd w:val="clear" w:color="auto" w:fill="auto"/>
            <w:noWrap/>
            <w:vAlign w:val="bottom"/>
            <w:hideMark/>
          </w:tcPr>
          <w:p w14:paraId="04081F3E"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Birch</w:t>
            </w:r>
          </w:p>
        </w:tc>
      </w:tr>
      <w:tr w:rsidR="005B0D74" w:rsidRPr="005B0D74" w14:paraId="62F6F952" w14:textId="77777777" w:rsidTr="005B0D74">
        <w:trPr>
          <w:trHeight w:val="264"/>
        </w:trPr>
        <w:tc>
          <w:tcPr>
            <w:tcW w:w="2990" w:type="dxa"/>
            <w:tcBorders>
              <w:top w:val="nil"/>
              <w:left w:val="nil"/>
              <w:bottom w:val="nil"/>
              <w:right w:val="nil"/>
            </w:tcBorders>
            <w:shd w:val="clear" w:color="auto" w:fill="auto"/>
            <w:noWrap/>
            <w:vAlign w:val="bottom"/>
            <w:hideMark/>
          </w:tcPr>
          <w:p w14:paraId="007D091D"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Nyssa sylvatica</w:t>
            </w:r>
          </w:p>
        </w:tc>
        <w:tc>
          <w:tcPr>
            <w:tcW w:w="2976" w:type="dxa"/>
            <w:tcBorders>
              <w:top w:val="nil"/>
              <w:left w:val="nil"/>
              <w:bottom w:val="nil"/>
              <w:right w:val="nil"/>
            </w:tcBorders>
            <w:shd w:val="clear" w:color="auto" w:fill="auto"/>
            <w:noWrap/>
            <w:vAlign w:val="bottom"/>
            <w:hideMark/>
          </w:tcPr>
          <w:p w14:paraId="57D35F2C"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Tupelo</w:t>
            </w:r>
          </w:p>
        </w:tc>
      </w:tr>
      <w:tr w:rsidR="005B0D74" w:rsidRPr="005B0D74" w14:paraId="1025F129" w14:textId="77777777" w:rsidTr="005B0D74">
        <w:trPr>
          <w:trHeight w:val="264"/>
        </w:trPr>
        <w:tc>
          <w:tcPr>
            <w:tcW w:w="2990" w:type="dxa"/>
            <w:tcBorders>
              <w:top w:val="nil"/>
              <w:left w:val="nil"/>
              <w:bottom w:val="nil"/>
              <w:right w:val="nil"/>
            </w:tcBorders>
            <w:shd w:val="clear" w:color="auto" w:fill="auto"/>
            <w:noWrap/>
            <w:vAlign w:val="bottom"/>
            <w:hideMark/>
          </w:tcPr>
          <w:p w14:paraId="37C79808"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7F202B31"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5EBCD0B1" w14:textId="77777777" w:rsidTr="005B0D74">
        <w:trPr>
          <w:trHeight w:val="264"/>
        </w:trPr>
        <w:tc>
          <w:tcPr>
            <w:tcW w:w="2990" w:type="dxa"/>
            <w:tcBorders>
              <w:top w:val="nil"/>
              <w:left w:val="nil"/>
              <w:bottom w:val="nil"/>
              <w:right w:val="nil"/>
            </w:tcBorders>
            <w:shd w:val="clear" w:color="auto" w:fill="auto"/>
            <w:noWrap/>
            <w:vAlign w:val="bottom"/>
            <w:hideMark/>
          </w:tcPr>
          <w:p w14:paraId="1AA17D33"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Shrubs</w:t>
            </w:r>
          </w:p>
        </w:tc>
        <w:tc>
          <w:tcPr>
            <w:tcW w:w="2976" w:type="dxa"/>
            <w:tcBorders>
              <w:top w:val="nil"/>
              <w:left w:val="nil"/>
              <w:bottom w:val="nil"/>
              <w:right w:val="nil"/>
            </w:tcBorders>
            <w:shd w:val="clear" w:color="auto" w:fill="auto"/>
            <w:noWrap/>
            <w:vAlign w:val="bottom"/>
            <w:hideMark/>
          </w:tcPr>
          <w:p w14:paraId="404CD60F" w14:textId="77777777" w:rsidR="005B0D74" w:rsidRPr="005B0D74" w:rsidRDefault="005B0D74" w:rsidP="005B0D74">
            <w:pPr>
              <w:spacing w:after="0" w:line="240" w:lineRule="auto"/>
              <w:rPr>
                <w:rFonts w:eastAsia="Times New Roman" w:cs="Arial"/>
                <w:b/>
                <w:bCs/>
                <w:i/>
                <w:iCs/>
                <w:sz w:val="20"/>
                <w:szCs w:val="20"/>
              </w:rPr>
            </w:pPr>
          </w:p>
        </w:tc>
      </w:tr>
      <w:tr w:rsidR="005B0D74" w:rsidRPr="005B0D74" w14:paraId="7FD1AE33" w14:textId="77777777" w:rsidTr="005B0D74">
        <w:trPr>
          <w:trHeight w:val="264"/>
        </w:trPr>
        <w:tc>
          <w:tcPr>
            <w:tcW w:w="2990" w:type="dxa"/>
            <w:tcBorders>
              <w:top w:val="nil"/>
              <w:left w:val="nil"/>
              <w:bottom w:val="nil"/>
              <w:right w:val="nil"/>
            </w:tcBorders>
            <w:shd w:val="clear" w:color="auto" w:fill="auto"/>
            <w:noWrap/>
            <w:vAlign w:val="bottom"/>
            <w:hideMark/>
          </w:tcPr>
          <w:p w14:paraId="0C9F0EF0"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Clethra alnifolia</w:t>
            </w:r>
          </w:p>
        </w:tc>
        <w:tc>
          <w:tcPr>
            <w:tcW w:w="2976" w:type="dxa"/>
            <w:tcBorders>
              <w:top w:val="nil"/>
              <w:left w:val="nil"/>
              <w:bottom w:val="nil"/>
              <w:right w:val="nil"/>
            </w:tcBorders>
            <w:shd w:val="clear" w:color="auto" w:fill="auto"/>
            <w:noWrap/>
            <w:vAlign w:val="bottom"/>
            <w:hideMark/>
          </w:tcPr>
          <w:p w14:paraId="4D0CD199"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Summersweet Clethra</w:t>
            </w:r>
          </w:p>
        </w:tc>
      </w:tr>
      <w:tr w:rsidR="005B0D74" w:rsidRPr="005B0D74" w14:paraId="5D8300C0" w14:textId="77777777" w:rsidTr="005B0D74">
        <w:trPr>
          <w:trHeight w:val="264"/>
        </w:trPr>
        <w:tc>
          <w:tcPr>
            <w:tcW w:w="2990" w:type="dxa"/>
            <w:tcBorders>
              <w:top w:val="nil"/>
              <w:left w:val="nil"/>
              <w:bottom w:val="nil"/>
              <w:right w:val="nil"/>
            </w:tcBorders>
            <w:shd w:val="clear" w:color="auto" w:fill="auto"/>
            <w:noWrap/>
            <w:vAlign w:val="bottom"/>
            <w:hideMark/>
          </w:tcPr>
          <w:p w14:paraId="2A14CFA4"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Cornus sericea</w:t>
            </w:r>
          </w:p>
        </w:tc>
        <w:tc>
          <w:tcPr>
            <w:tcW w:w="2976" w:type="dxa"/>
            <w:tcBorders>
              <w:top w:val="nil"/>
              <w:left w:val="nil"/>
              <w:bottom w:val="nil"/>
              <w:right w:val="nil"/>
            </w:tcBorders>
            <w:shd w:val="clear" w:color="auto" w:fill="auto"/>
            <w:noWrap/>
            <w:vAlign w:val="bottom"/>
            <w:hideMark/>
          </w:tcPr>
          <w:p w14:paraId="7B6E9CD1"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Red Twig Dogwood</w:t>
            </w:r>
          </w:p>
        </w:tc>
      </w:tr>
      <w:tr w:rsidR="005B0D74" w:rsidRPr="005B0D74" w14:paraId="5174C51F" w14:textId="77777777" w:rsidTr="005B0D74">
        <w:trPr>
          <w:trHeight w:val="264"/>
        </w:trPr>
        <w:tc>
          <w:tcPr>
            <w:tcW w:w="2990" w:type="dxa"/>
            <w:tcBorders>
              <w:top w:val="nil"/>
              <w:left w:val="nil"/>
              <w:bottom w:val="nil"/>
              <w:right w:val="nil"/>
            </w:tcBorders>
            <w:shd w:val="clear" w:color="auto" w:fill="auto"/>
            <w:noWrap/>
            <w:vAlign w:val="bottom"/>
            <w:hideMark/>
          </w:tcPr>
          <w:p w14:paraId="05C0A54A" w14:textId="77777777" w:rsidR="005B0D74" w:rsidRPr="005B0D74" w:rsidRDefault="005B0D74" w:rsidP="005B0D74">
            <w:pPr>
              <w:spacing w:after="0" w:line="240" w:lineRule="auto"/>
              <w:rPr>
                <w:rFonts w:eastAsia="Times New Roman" w:cs="Arial"/>
                <w:sz w:val="20"/>
                <w:szCs w:val="20"/>
              </w:rPr>
            </w:pPr>
          </w:p>
        </w:tc>
        <w:tc>
          <w:tcPr>
            <w:tcW w:w="2976" w:type="dxa"/>
            <w:tcBorders>
              <w:top w:val="nil"/>
              <w:left w:val="nil"/>
              <w:bottom w:val="nil"/>
              <w:right w:val="nil"/>
            </w:tcBorders>
            <w:shd w:val="clear" w:color="auto" w:fill="auto"/>
            <w:noWrap/>
            <w:vAlign w:val="bottom"/>
            <w:hideMark/>
          </w:tcPr>
          <w:p w14:paraId="4A91ABB3" w14:textId="77777777" w:rsidR="005B0D74" w:rsidRPr="005B0D74" w:rsidRDefault="005B0D74" w:rsidP="005B0D74">
            <w:pPr>
              <w:spacing w:after="0" w:line="240" w:lineRule="auto"/>
              <w:rPr>
                <w:rFonts w:ascii="Times New Roman" w:eastAsia="Times New Roman" w:hAnsi="Times New Roman" w:cs="Times New Roman"/>
                <w:sz w:val="20"/>
                <w:szCs w:val="20"/>
              </w:rPr>
            </w:pPr>
          </w:p>
        </w:tc>
      </w:tr>
      <w:tr w:rsidR="005B0D74" w:rsidRPr="005B0D74" w14:paraId="30EC4A05" w14:textId="77777777" w:rsidTr="005B0D74">
        <w:trPr>
          <w:trHeight w:val="264"/>
        </w:trPr>
        <w:tc>
          <w:tcPr>
            <w:tcW w:w="5966" w:type="dxa"/>
            <w:gridSpan w:val="2"/>
            <w:tcBorders>
              <w:top w:val="nil"/>
              <w:left w:val="nil"/>
              <w:bottom w:val="nil"/>
              <w:right w:val="nil"/>
            </w:tcBorders>
            <w:shd w:val="clear" w:color="auto" w:fill="auto"/>
            <w:noWrap/>
            <w:vAlign w:val="bottom"/>
            <w:hideMark/>
          </w:tcPr>
          <w:p w14:paraId="07BB20F7" w14:textId="77777777" w:rsidR="005B0D74" w:rsidRPr="005B0D74" w:rsidRDefault="005B0D74" w:rsidP="005B0D74">
            <w:pPr>
              <w:spacing w:after="0" w:line="240" w:lineRule="auto"/>
              <w:rPr>
                <w:rFonts w:eastAsia="Times New Roman" w:cs="Arial"/>
                <w:b/>
                <w:bCs/>
                <w:i/>
                <w:iCs/>
                <w:sz w:val="20"/>
                <w:szCs w:val="20"/>
              </w:rPr>
            </w:pPr>
            <w:r w:rsidRPr="005B0D74">
              <w:rPr>
                <w:rFonts w:eastAsia="Times New Roman" w:cs="Arial"/>
                <w:b/>
                <w:bCs/>
                <w:i/>
                <w:iCs/>
                <w:sz w:val="20"/>
                <w:szCs w:val="20"/>
              </w:rPr>
              <w:t>Perennials/Grasses/Groundcovers</w:t>
            </w:r>
          </w:p>
        </w:tc>
      </w:tr>
      <w:tr w:rsidR="005B0D74" w:rsidRPr="005B0D74" w14:paraId="07243407" w14:textId="77777777" w:rsidTr="005B0D74">
        <w:trPr>
          <w:trHeight w:val="264"/>
        </w:trPr>
        <w:tc>
          <w:tcPr>
            <w:tcW w:w="2990" w:type="dxa"/>
            <w:tcBorders>
              <w:top w:val="nil"/>
              <w:left w:val="nil"/>
              <w:bottom w:val="nil"/>
              <w:right w:val="nil"/>
            </w:tcBorders>
            <w:shd w:val="clear" w:color="auto" w:fill="auto"/>
            <w:noWrap/>
            <w:vAlign w:val="bottom"/>
            <w:hideMark/>
          </w:tcPr>
          <w:p w14:paraId="73E074AF"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Asclepias sp.</w:t>
            </w:r>
          </w:p>
        </w:tc>
        <w:tc>
          <w:tcPr>
            <w:tcW w:w="2976" w:type="dxa"/>
            <w:tcBorders>
              <w:top w:val="nil"/>
              <w:left w:val="nil"/>
              <w:bottom w:val="nil"/>
              <w:right w:val="nil"/>
            </w:tcBorders>
            <w:shd w:val="clear" w:color="auto" w:fill="auto"/>
            <w:noWrap/>
            <w:vAlign w:val="bottom"/>
            <w:hideMark/>
          </w:tcPr>
          <w:p w14:paraId="04E959BC"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Milkweed sp.</w:t>
            </w:r>
          </w:p>
        </w:tc>
      </w:tr>
      <w:tr w:rsidR="005B0D74" w:rsidRPr="005B0D74" w14:paraId="6953D170" w14:textId="77777777" w:rsidTr="005B0D74">
        <w:trPr>
          <w:trHeight w:val="264"/>
        </w:trPr>
        <w:tc>
          <w:tcPr>
            <w:tcW w:w="2990" w:type="dxa"/>
            <w:tcBorders>
              <w:top w:val="nil"/>
              <w:left w:val="nil"/>
              <w:bottom w:val="nil"/>
              <w:right w:val="nil"/>
            </w:tcBorders>
            <w:shd w:val="clear" w:color="auto" w:fill="auto"/>
            <w:noWrap/>
            <w:vAlign w:val="bottom"/>
            <w:hideMark/>
          </w:tcPr>
          <w:p w14:paraId="12ECA2E6"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Carex sp.</w:t>
            </w:r>
          </w:p>
        </w:tc>
        <w:tc>
          <w:tcPr>
            <w:tcW w:w="2976" w:type="dxa"/>
            <w:tcBorders>
              <w:top w:val="nil"/>
              <w:left w:val="nil"/>
              <w:bottom w:val="nil"/>
              <w:right w:val="nil"/>
            </w:tcBorders>
            <w:shd w:val="clear" w:color="auto" w:fill="auto"/>
            <w:noWrap/>
            <w:vAlign w:val="bottom"/>
            <w:hideMark/>
          </w:tcPr>
          <w:p w14:paraId="1B32076E"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Sedge sp.</w:t>
            </w:r>
          </w:p>
        </w:tc>
      </w:tr>
      <w:tr w:rsidR="005B0D74" w:rsidRPr="005B0D74" w14:paraId="2D4B8E0A" w14:textId="77777777" w:rsidTr="005B0D74">
        <w:trPr>
          <w:trHeight w:val="264"/>
        </w:trPr>
        <w:tc>
          <w:tcPr>
            <w:tcW w:w="2990" w:type="dxa"/>
            <w:tcBorders>
              <w:top w:val="nil"/>
              <w:left w:val="nil"/>
              <w:bottom w:val="nil"/>
              <w:right w:val="nil"/>
            </w:tcBorders>
            <w:shd w:val="clear" w:color="auto" w:fill="auto"/>
            <w:noWrap/>
            <w:vAlign w:val="bottom"/>
            <w:hideMark/>
          </w:tcPr>
          <w:p w14:paraId="4F96A4A8"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Eragrostis spectabilis</w:t>
            </w:r>
          </w:p>
        </w:tc>
        <w:tc>
          <w:tcPr>
            <w:tcW w:w="2976" w:type="dxa"/>
            <w:tcBorders>
              <w:top w:val="nil"/>
              <w:left w:val="nil"/>
              <w:bottom w:val="nil"/>
              <w:right w:val="nil"/>
            </w:tcBorders>
            <w:shd w:val="clear" w:color="auto" w:fill="auto"/>
            <w:noWrap/>
            <w:vAlign w:val="bottom"/>
            <w:hideMark/>
          </w:tcPr>
          <w:p w14:paraId="61379B3E"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Purple Lovegrass</w:t>
            </w:r>
          </w:p>
        </w:tc>
      </w:tr>
      <w:tr w:rsidR="005B0D74" w:rsidRPr="005B0D74" w14:paraId="328DAC9A" w14:textId="77777777" w:rsidTr="005B0D74">
        <w:trPr>
          <w:trHeight w:val="264"/>
        </w:trPr>
        <w:tc>
          <w:tcPr>
            <w:tcW w:w="2990" w:type="dxa"/>
            <w:tcBorders>
              <w:top w:val="nil"/>
              <w:left w:val="nil"/>
              <w:bottom w:val="nil"/>
              <w:right w:val="nil"/>
            </w:tcBorders>
            <w:shd w:val="clear" w:color="auto" w:fill="auto"/>
            <w:noWrap/>
            <w:vAlign w:val="bottom"/>
            <w:hideMark/>
          </w:tcPr>
          <w:p w14:paraId="4694DA6B"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Eupatorium hyssopifolium</w:t>
            </w:r>
          </w:p>
        </w:tc>
        <w:tc>
          <w:tcPr>
            <w:tcW w:w="2976" w:type="dxa"/>
            <w:tcBorders>
              <w:top w:val="nil"/>
              <w:left w:val="nil"/>
              <w:bottom w:val="nil"/>
              <w:right w:val="nil"/>
            </w:tcBorders>
            <w:shd w:val="clear" w:color="auto" w:fill="auto"/>
            <w:noWrap/>
            <w:vAlign w:val="bottom"/>
            <w:hideMark/>
          </w:tcPr>
          <w:p w14:paraId="578C0AF8"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Hyssop Leaved Boneset</w:t>
            </w:r>
          </w:p>
        </w:tc>
      </w:tr>
      <w:tr w:rsidR="005B0D74" w:rsidRPr="005B0D74" w14:paraId="1A191352" w14:textId="77777777" w:rsidTr="005B0D74">
        <w:trPr>
          <w:trHeight w:val="264"/>
        </w:trPr>
        <w:tc>
          <w:tcPr>
            <w:tcW w:w="2990" w:type="dxa"/>
            <w:tcBorders>
              <w:top w:val="nil"/>
              <w:left w:val="nil"/>
              <w:bottom w:val="nil"/>
              <w:right w:val="nil"/>
            </w:tcBorders>
            <w:shd w:val="clear" w:color="auto" w:fill="auto"/>
            <w:noWrap/>
            <w:vAlign w:val="bottom"/>
            <w:hideMark/>
          </w:tcPr>
          <w:p w14:paraId="002367FE"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Juncus sp.</w:t>
            </w:r>
          </w:p>
        </w:tc>
        <w:tc>
          <w:tcPr>
            <w:tcW w:w="2976" w:type="dxa"/>
            <w:tcBorders>
              <w:top w:val="nil"/>
              <w:left w:val="nil"/>
              <w:bottom w:val="nil"/>
              <w:right w:val="nil"/>
            </w:tcBorders>
            <w:shd w:val="clear" w:color="auto" w:fill="auto"/>
            <w:noWrap/>
            <w:vAlign w:val="bottom"/>
            <w:hideMark/>
          </w:tcPr>
          <w:p w14:paraId="695918CB"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Rushes</w:t>
            </w:r>
          </w:p>
        </w:tc>
      </w:tr>
      <w:tr w:rsidR="005B0D74" w:rsidRPr="005B0D74" w14:paraId="5AABA557" w14:textId="77777777" w:rsidTr="005B0D74">
        <w:trPr>
          <w:trHeight w:val="264"/>
        </w:trPr>
        <w:tc>
          <w:tcPr>
            <w:tcW w:w="2990" w:type="dxa"/>
            <w:tcBorders>
              <w:top w:val="nil"/>
              <w:left w:val="nil"/>
              <w:bottom w:val="nil"/>
              <w:right w:val="nil"/>
            </w:tcBorders>
            <w:shd w:val="clear" w:color="auto" w:fill="auto"/>
            <w:noWrap/>
            <w:vAlign w:val="bottom"/>
            <w:hideMark/>
          </w:tcPr>
          <w:p w14:paraId="4F06DE0C"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Panicum virgatum</w:t>
            </w:r>
          </w:p>
        </w:tc>
        <w:tc>
          <w:tcPr>
            <w:tcW w:w="2976" w:type="dxa"/>
            <w:tcBorders>
              <w:top w:val="nil"/>
              <w:left w:val="nil"/>
              <w:bottom w:val="nil"/>
              <w:right w:val="nil"/>
            </w:tcBorders>
            <w:shd w:val="clear" w:color="auto" w:fill="auto"/>
            <w:noWrap/>
            <w:vAlign w:val="bottom"/>
            <w:hideMark/>
          </w:tcPr>
          <w:p w14:paraId="5581411C"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Switchgrass</w:t>
            </w:r>
          </w:p>
        </w:tc>
      </w:tr>
      <w:tr w:rsidR="005B0D74" w:rsidRPr="005B0D74" w14:paraId="076F86BA" w14:textId="77777777" w:rsidTr="005B0D74">
        <w:trPr>
          <w:trHeight w:val="264"/>
        </w:trPr>
        <w:tc>
          <w:tcPr>
            <w:tcW w:w="2990" w:type="dxa"/>
            <w:tcBorders>
              <w:top w:val="nil"/>
              <w:left w:val="nil"/>
              <w:bottom w:val="nil"/>
              <w:right w:val="nil"/>
            </w:tcBorders>
            <w:shd w:val="clear" w:color="auto" w:fill="auto"/>
            <w:noWrap/>
            <w:vAlign w:val="bottom"/>
            <w:hideMark/>
          </w:tcPr>
          <w:p w14:paraId="05F2D01A"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Penstemon digitalis</w:t>
            </w:r>
          </w:p>
        </w:tc>
        <w:tc>
          <w:tcPr>
            <w:tcW w:w="2976" w:type="dxa"/>
            <w:tcBorders>
              <w:top w:val="nil"/>
              <w:left w:val="nil"/>
              <w:bottom w:val="nil"/>
              <w:right w:val="nil"/>
            </w:tcBorders>
            <w:shd w:val="clear" w:color="auto" w:fill="auto"/>
            <w:noWrap/>
            <w:vAlign w:val="bottom"/>
            <w:hideMark/>
          </w:tcPr>
          <w:p w14:paraId="4F263296"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Beardtongue</w:t>
            </w:r>
          </w:p>
        </w:tc>
      </w:tr>
      <w:tr w:rsidR="005B0D74" w:rsidRPr="005B0D74" w14:paraId="237F31F9" w14:textId="77777777" w:rsidTr="005B0D74">
        <w:trPr>
          <w:trHeight w:val="264"/>
        </w:trPr>
        <w:tc>
          <w:tcPr>
            <w:tcW w:w="2990" w:type="dxa"/>
            <w:tcBorders>
              <w:top w:val="nil"/>
              <w:left w:val="nil"/>
              <w:bottom w:val="nil"/>
              <w:right w:val="nil"/>
            </w:tcBorders>
            <w:shd w:val="clear" w:color="auto" w:fill="auto"/>
            <w:noWrap/>
            <w:vAlign w:val="bottom"/>
            <w:hideMark/>
          </w:tcPr>
          <w:p w14:paraId="5C904611"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Pycanthemum sp.</w:t>
            </w:r>
          </w:p>
        </w:tc>
        <w:tc>
          <w:tcPr>
            <w:tcW w:w="2976" w:type="dxa"/>
            <w:tcBorders>
              <w:top w:val="nil"/>
              <w:left w:val="nil"/>
              <w:bottom w:val="nil"/>
              <w:right w:val="nil"/>
            </w:tcBorders>
            <w:shd w:val="clear" w:color="auto" w:fill="auto"/>
            <w:noWrap/>
            <w:vAlign w:val="bottom"/>
            <w:hideMark/>
          </w:tcPr>
          <w:p w14:paraId="25DCD25E"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Mountain Mint</w:t>
            </w:r>
          </w:p>
        </w:tc>
      </w:tr>
      <w:tr w:rsidR="005B0D74" w:rsidRPr="005B0D74" w14:paraId="33987FD9" w14:textId="77777777" w:rsidTr="005B0D74">
        <w:trPr>
          <w:trHeight w:val="264"/>
        </w:trPr>
        <w:tc>
          <w:tcPr>
            <w:tcW w:w="2990" w:type="dxa"/>
            <w:tcBorders>
              <w:top w:val="nil"/>
              <w:left w:val="nil"/>
              <w:bottom w:val="nil"/>
              <w:right w:val="nil"/>
            </w:tcBorders>
            <w:shd w:val="clear" w:color="auto" w:fill="auto"/>
            <w:noWrap/>
            <w:vAlign w:val="bottom"/>
            <w:hideMark/>
          </w:tcPr>
          <w:p w14:paraId="61ACDE6B"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lastRenderedPageBreak/>
              <w:t>Schizachyrium scoparium</w:t>
            </w:r>
          </w:p>
        </w:tc>
        <w:tc>
          <w:tcPr>
            <w:tcW w:w="2976" w:type="dxa"/>
            <w:tcBorders>
              <w:top w:val="nil"/>
              <w:left w:val="nil"/>
              <w:bottom w:val="nil"/>
              <w:right w:val="nil"/>
            </w:tcBorders>
            <w:shd w:val="clear" w:color="auto" w:fill="auto"/>
            <w:noWrap/>
            <w:vAlign w:val="bottom"/>
            <w:hideMark/>
          </w:tcPr>
          <w:p w14:paraId="3FDD9B38"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Little Bluestem</w:t>
            </w:r>
          </w:p>
        </w:tc>
      </w:tr>
      <w:tr w:rsidR="005B0D74" w:rsidRPr="005B0D74" w14:paraId="4D21F180" w14:textId="77777777" w:rsidTr="005B0D74">
        <w:trPr>
          <w:trHeight w:val="264"/>
        </w:trPr>
        <w:tc>
          <w:tcPr>
            <w:tcW w:w="2990" w:type="dxa"/>
            <w:tcBorders>
              <w:top w:val="nil"/>
              <w:left w:val="nil"/>
              <w:bottom w:val="nil"/>
              <w:right w:val="nil"/>
            </w:tcBorders>
            <w:shd w:val="clear" w:color="auto" w:fill="auto"/>
            <w:noWrap/>
            <w:vAlign w:val="bottom"/>
            <w:hideMark/>
          </w:tcPr>
          <w:p w14:paraId="7C6D6CC3" w14:textId="77777777" w:rsidR="005B0D74" w:rsidRPr="005B0D74" w:rsidRDefault="005B0D74" w:rsidP="005B0D74">
            <w:pPr>
              <w:spacing w:after="0" w:line="240" w:lineRule="auto"/>
              <w:rPr>
                <w:rFonts w:eastAsia="Times New Roman" w:cs="Arial"/>
                <w:i/>
                <w:iCs/>
                <w:sz w:val="20"/>
                <w:szCs w:val="20"/>
              </w:rPr>
            </w:pPr>
            <w:r w:rsidRPr="005B0D74">
              <w:rPr>
                <w:rFonts w:eastAsia="Times New Roman" w:cs="Arial"/>
                <w:i/>
                <w:iCs/>
                <w:sz w:val="20"/>
                <w:szCs w:val="20"/>
              </w:rPr>
              <w:t>Solidago sp.</w:t>
            </w:r>
          </w:p>
        </w:tc>
        <w:tc>
          <w:tcPr>
            <w:tcW w:w="2976" w:type="dxa"/>
            <w:tcBorders>
              <w:top w:val="nil"/>
              <w:left w:val="nil"/>
              <w:bottom w:val="nil"/>
              <w:right w:val="nil"/>
            </w:tcBorders>
            <w:shd w:val="clear" w:color="auto" w:fill="auto"/>
            <w:noWrap/>
            <w:vAlign w:val="bottom"/>
            <w:hideMark/>
          </w:tcPr>
          <w:p w14:paraId="0CF2793E" w14:textId="77777777" w:rsidR="005B0D74" w:rsidRPr="005B0D74" w:rsidRDefault="005B0D74" w:rsidP="005B0D74">
            <w:pPr>
              <w:spacing w:after="0" w:line="240" w:lineRule="auto"/>
              <w:rPr>
                <w:rFonts w:eastAsia="Times New Roman" w:cs="Arial"/>
                <w:sz w:val="20"/>
                <w:szCs w:val="20"/>
              </w:rPr>
            </w:pPr>
            <w:r w:rsidRPr="005B0D74">
              <w:rPr>
                <w:rFonts w:eastAsia="Times New Roman" w:cs="Arial"/>
                <w:sz w:val="20"/>
                <w:szCs w:val="20"/>
              </w:rPr>
              <w:t>Goldenrod</w:t>
            </w:r>
          </w:p>
        </w:tc>
      </w:tr>
    </w:tbl>
    <w:p w14:paraId="56281686" w14:textId="24A427A2" w:rsidR="007A25AD" w:rsidRPr="00745E69" w:rsidRDefault="00CA294C" w:rsidP="00174734">
      <w:pPr>
        <w:spacing w:before="240" w:after="120"/>
        <w:rPr>
          <w:rFonts w:cs="Arial"/>
          <w:i/>
          <w:iCs/>
          <w:color w:val="365F91" w:themeColor="accent1" w:themeShade="BF"/>
          <w:u w:val="single"/>
        </w:rPr>
      </w:pPr>
      <w:r w:rsidRPr="00174734">
        <w:rPr>
          <w:rFonts w:cs="Arial"/>
          <w:noProof/>
          <w:color w:val="365F91" w:themeColor="accent1" w:themeShade="BF"/>
          <w:u w:val="single"/>
        </w:rPr>
        <mc:AlternateContent>
          <mc:Choice Requires="wps">
            <w:drawing>
              <wp:anchor distT="45720" distB="45720" distL="114300" distR="114300" simplePos="0" relativeHeight="251659264" behindDoc="1" locked="0" layoutInCell="1" allowOverlap="1" wp14:anchorId="50D96263" wp14:editId="65B18924">
                <wp:simplePos x="0" y="0"/>
                <wp:positionH relativeFrom="margin">
                  <wp:posOffset>4438650</wp:posOffset>
                </wp:positionH>
                <wp:positionV relativeFrom="paragraph">
                  <wp:posOffset>42545</wp:posOffset>
                </wp:positionV>
                <wp:extent cx="1280160" cy="3562350"/>
                <wp:effectExtent l="0" t="0" r="0" b="0"/>
                <wp:wrapTight wrapText="bothSides">
                  <wp:wrapPolygon edited="0">
                    <wp:start x="0" y="0"/>
                    <wp:lineTo x="0" y="21484"/>
                    <wp:lineTo x="21214" y="21484"/>
                    <wp:lineTo x="212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562350"/>
                        </a:xfrm>
                        <a:prstGeom prst="rect">
                          <a:avLst/>
                        </a:prstGeom>
                        <a:solidFill>
                          <a:srgbClr val="FFFFFF"/>
                        </a:solidFill>
                        <a:ln w="9525">
                          <a:noFill/>
                          <a:miter lim="800000"/>
                          <a:headEnd/>
                          <a:tailEnd/>
                        </a:ln>
                      </wps:spPr>
                      <wps:txbx>
                        <w:txbxContent>
                          <w:p w14:paraId="69B48DC6" w14:textId="77777777" w:rsidR="008D14E3" w:rsidRPr="00174734" w:rsidRDefault="008D14E3">
                            <w:r w:rsidRPr="00174734">
                              <w:rPr>
                                <w:noProof/>
                              </w:rPr>
                              <w:drawing>
                                <wp:inline distT="0" distB="0" distL="0" distR="0" wp14:anchorId="05ED3218" wp14:editId="004B21B5">
                                  <wp:extent cx="1095375" cy="30480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3048000"/>
                                          </a:xfrm>
                                          <a:prstGeom prst="rect">
                                            <a:avLst/>
                                          </a:prstGeom>
                                          <a:noFill/>
                                          <a:ln>
                                            <a:noFill/>
                                          </a:ln>
                                        </pic:spPr>
                                      </pic:pic>
                                    </a:graphicData>
                                  </a:graphic>
                                </wp:inline>
                              </w:drawing>
                            </w:r>
                          </w:p>
                          <w:p w14:paraId="5BB1FCEB" w14:textId="27790B55" w:rsidR="008D14E3" w:rsidRPr="00174734" w:rsidRDefault="008D14E3">
                            <w:pPr>
                              <w:rPr>
                                <w:i/>
                                <w:iCs/>
                                <w:color w:val="365F91" w:themeColor="accent1" w:themeShade="BF"/>
                                <w:sz w:val="20"/>
                                <w:szCs w:val="20"/>
                              </w:rPr>
                            </w:pPr>
                            <w:r w:rsidRPr="00174734">
                              <w:rPr>
                                <w:i/>
                                <w:iCs/>
                                <w:color w:val="365F91" w:themeColor="accent1" w:themeShade="BF"/>
                                <w:sz w:val="20"/>
                                <w:szCs w:val="20"/>
                              </w:rPr>
                              <w:t>Proposed Lighting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96263" id="_x0000_t202" coordsize="21600,21600" o:spt="202" path="m,l,21600r21600,l21600,xe">
                <v:stroke joinstyle="miter"/>
                <v:path gradientshapeok="t" o:connecttype="rect"/>
              </v:shapetype>
              <v:shape id="Text Box 2" o:spid="_x0000_s1026" type="#_x0000_t202" style="position:absolute;margin-left:349.5pt;margin-top:3.35pt;width:100.8pt;height:28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hFIQ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" stroked="f">
                <v:textbox>
                  <w:txbxContent>
                    <w:p w14:paraId="69B48DC6" w14:textId="77777777" w:rsidR="008D14E3" w:rsidRPr="00174734" w:rsidRDefault="008D14E3">
                      <w:r w:rsidRPr="00174734">
                        <w:rPr>
                          <w:noProof/>
                        </w:rPr>
                        <w:drawing>
                          <wp:inline distT="0" distB="0" distL="0" distR="0" wp14:anchorId="05ED3218" wp14:editId="004B21B5">
                            <wp:extent cx="1095375" cy="30480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3048000"/>
                                    </a:xfrm>
                                    <a:prstGeom prst="rect">
                                      <a:avLst/>
                                    </a:prstGeom>
                                    <a:noFill/>
                                    <a:ln>
                                      <a:noFill/>
                                    </a:ln>
                                  </pic:spPr>
                                </pic:pic>
                              </a:graphicData>
                            </a:graphic>
                          </wp:inline>
                        </w:drawing>
                      </w:r>
                    </w:p>
                    <w:p w14:paraId="5BB1FCEB" w14:textId="27790B55" w:rsidR="008D14E3" w:rsidRPr="00174734" w:rsidRDefault="008D14E3">
                      <w:pPr>
                        <w:rPr>
                          <w:i/>
                          <w:iCs/>
                          <w:color w:val="365F91" w:themeColor="accent1" w:themeShade="BF"/>
                          <w:sz w:val="20"/>
                          <w:szCs w:val="20"/>
                        </w:rPr>
                      </w:pPr>
                      <w:r w:rsidRPr="00174734">
                        <w:rPr>
                          <w:i/>
                          <w:iCs/>
                          <w:color w:val="365F91" w:themeColor="accent1" w:themeShade="BF"/>
                          <w:sz w:val="20"/>
                          <w:szCs w:val="20"/>
                        </w:rPr>
                        <w:t>Proposed Lighting</w:t>
                      </w:r>
                    </w:p>
                  </w:txbxContent>
                </v:textbox>
                <w10:wrap type="tight" anchorx="margin"/>
              </v:shape>
            </w:pict>
          </mc:Fallback>
        </mc:AlternateContent>
      </w:r>
      <w:r w:rsidR="007A25AD" w:rsidRPr="00745E69">
        <w:rPr>
          <w:rFonts w:cs="Arial"/>
          <w:i/>
          <w:iCs/>
          <w:color w:val="365F91" w:themeColor="accent1" w:themeShade="BF"/>
          <w:u w:val="single"/>
        </w:rPr>
        <w:t>Lighting</w:t>
      </w:r>
    </w:p>
    <w:p w14:paraId="00424614" w14:textId="54A4684B" w:rsidR="007A25AD" w:rsidRPr="005108CF" w:rsidRDefault="007A25AD" w:rsidP="00174734">
      <w:pPr>
        <w:spacing w:after="240"/>
        <w:rPr>
          <w:rStyle w:val="bodytext1"/>
          <w:rFonts w:ascii="Arial" w:hAnsi="Arial" w:cs="Arial"/>
          <w:sz w:val="24"/>
        </w:rPr>
      </w:pPr>
      <w:r w:rsidRPr="003D0F8D">
        <w:rPr>
          <w:rFonts w:cs="Arial"/>
        </w:rPr>
        <w:t>The lighting selected for the site is an ornamental pendant style fixture that hangs down</w:t>
      </w:r>
      <w:r w:rsidR="006D42F0" w:rsidRPr="003D0F8D">
        <w:rPr>
          <w:rFonts w:cs="Arial"/>
        </w:rPr>
        <w:t>ward facing</w:t>
      </w:r>
      <w:r w:rsidRPr="003D0F8D">
        <w:rPr>
          <w:rFonts w:cs="Arial"/>
        </w:rPr>
        <w:t xml:space="preserve"> toward the ground, ensuring light does not trespass or add excess light pollution. The fixture</w:t>
      </w:r>
      <w:r w:rsidR="003D0F8D" w:rsidRPr="003D0F8D">
        <w:rPr>
          <w:rFonts w:cs="Arial"/>
        </w:rPr>
        <w:t>s</w:t>
      </w:r>
      <w:r w:rsidRPr="003D0F8D">
        <w:rPr>
          <w:rFonts w:cs="Arial"/>
        </w:rPr>
        <w:t xml:space="preserve"> hang </w:t>
      </w:r>
      <w:r w:rsidR="003D0F8D" w:rsidRPr="003D0F8D">
        <w:rPr>
          <w:rFonts w:cs="Arial"/>
        </w:rPr>
        <w:t>between 12 and 15</w:t>
      </w:r>
      <w:r w:rsidRPr="003D0F8D">
        <w:rPr>
          <w:rFonts w:cs="Arial"/>
        </w:rPr>
        <w:t xml:space="preserve"> off the </w:t>
      </w:r>
      <w:r w:rsidR="006D42F0" w:rsidRPr="003D0F8D">
        <w:rPr>
          <w:rFonts w:cs="Arial"/>
        </w:rPr>
        <w:t xml:space="preserve">ground </w:t>
      </w:r>
      <w:r w:rsidRPr="003D0F8D">
        <w:rPr>
          <w:rFonts w:cs="Arial"/>
        </w:rPr>
        <w:t>and provides comfortable lighting for the roadway and adjacent sidewalk. The fixture is a King Luminaire gloss black classic style, which adds to the pedestrian scale and neighborhood feel of the development.</w:t>
      </w:r>
      <w:r w:rsidR="00174734" w:rsidRPr="003D0F8D">
        <w:rPr>
          <w:rFonts w:cs="Arial"/>
        </w:rPr>
        <w:t xml:space="preserve"> A photometric plan has been provided as part of the application submission. </w:t>
      </w:r>
      <w:r w:rsidR="006F18AF" w:rsidRPr="003D0F8D">
        <w:rPr>
          <w:rFonts w:cs="Arial"/>
        </w:rPr>
        <w:t xml:space="preserve">See </w:t>
      </w:r>
      <w:r w:rsidR="002F2914" w:rsidRPr="003D0F8D">
        <w:rPr>
          <w:rFonts w:cs="Arial"/>
        </w:rPr>
        <w:t>Attachment 4</w:t>
      </w:r>
      <w:r w:rsidR="006F18AF" w:rsidRPr="003D0F8D">
        <w:rPr>
          <w:rFonts w:cs="Arial"/>
        </w:rPr>
        <w:t xml:space="preserve"> for additional lighting information.</w:t>
      </w:r>
      <w:r w:rsidR="006F18AF">
        <w:rPr>
          <w:rFonts w:cs="Arial"/>
        </w:rPr>
        <w:t xml:space="preserve"> </w:t>
      </w:r>
    </w:p>
    <w:p w14:paraId="6A31C0A0" w14:textId="5F5EB62B" w:rsidR="007A25AD" w:rsidRPr="00745E69" w:rsidRDefault="007A25AD" w:rsidP="00174734">
      <w:pPr>
        <w:spacing w:after="120"/>
        <w:rPr>
          <w:rFonts w:cs="Arial"/>
          <w:i/>
          <w:iCs/>
          <w:color w:val="365F91" w:themeColor="accent1" w:themeShade="BF"/>
          <w:u w:val="single"/>
        </w:rPr>
      </w:pPr>
      <w:r w:rsidRPr="00745E69">
        <w:rPr>
          <w:rFonts w:cs="Arial"/>
          <w:i/>
          <w:iCs/>
          <w:color w:val="365F91" w:themeColor="accent1" w:themeShade="BF"/>
          <w:u w:val="single"/>
        </w:rPr>
        <w:t>Winter Months</w:t>
      </w:r>
    </w:p>
    <w:p w14:paraId="66DCDC69" w14:textId="77777777" w:rsidR="006D42F0" w:rsidRDefault="00840ACB" w:rsidP="006D42F0">
      <w:r w:rsidRPr="0035571D">
        <w:t xml:space="preserve">The overall layout of the landscape and site design gave consideration for the site during winter months. To accommodate snow storage, and ensure excess snow is not directed to stormwater facilities, locations for storage have been created throughout the development. This gives anyone removing snow several options, and plenty of room for </w:t>
      </w:r>
      <w:r w:rsidRPr="0035571D">
        <w:rPr>
          <w:color w:val="000000"/>
        </w:rPr>
        <w:t>large</w:t>
      </w:r>
      <w:r w:rsidRPr="0035571D">
        <w:t xml:space="preserve"> storm events.</w:t>
      </w:r>
      <w:r w:rsidRPr="00840ACB">
        <w:t xml:space="preserve"> </w:t>
      </w:r>
    </w:p>
    <w:p w14:paraId="666A8BFD" w14:textId="7B0A4D82" w:rsidR="00032EB2" w:rsidRDefault="007A75D2" w:rsidP="00174734">
      <w:pPr>
        <w:pStyle w:val="Heading2"/>
      </w:pPr>
      <w:bookmarkStart w:id="15" w:name="_Toc71740826"/>
      <w:r w:rsidRPr="004C30C5">
        <w:rPr>
          <w:color w:val="4F81BD"/>
        </w:rPr>
        <w:t>Proposed</w:t>
      </w:r>
      <w:r>
        <w:t xml:space="preserve"> and Existing Public and Private Utilities</w:t>
      </w:r>
      <w:bookmarkEnd w:id="15"/>
    </w:p>
    <w:p w14:paraId="68663D42" w14:textId="0C120322" w:rsidR="00632347" w:rsidRDefault="00745A12" w:rsidP="00174734">
      <w:pPr>
        <w:rPr>
          <w:rFonts w:cs="Arial"/>
        </w:rPr>
      </w:pPr>
      <w:bookmarkStart w:id="16" w:name="_Hlk39174434"/>
      <w:r>
        <w:rPr>
          <w:rFonts w:cs="Arial"/>
        </w:rPr>
        <w:t xml:space="preserve">There are no utilities at the Property. </w:t>
      </w:r>
      <w:r w:rsidR="00632347" w:rsidRPr="00632347">
        <w:rPr>
          <w:rFonts w:cs="Arial"/>
        </w:rPr>
        <w:t>There is access</w:t>
      </w:r>
      <w:r w:rsidR="00CF7D13">
        <w:rPr>
          <w:rFonts w:cs="Arial"/>
        </w:rPr>
        <w:t xml:space="preserve"> to</w:t>
      </w:r>
      <w:r w:rsidR="00632347" w:rsidRPr="00632347">
        <w:rPr>
          <w:rFonts w:cs="Arial"/>
        </w:rPr>
        <w:t xml:space="preserve"> </w:t>
      </w:r>
      <w:r w:rsidR="00632347">
        <w:rPr>
          <w:rFonts w:cs="Arial"/>
        </w:rPr>
        <w:t xml:space="preserve">public </w:t>
      </w:r>
      <w:r w:rsidR="00632347" w:rsidRPr="00632347">
        <w:rPr>
          <w:rFonts w:cs="Arial"/>
        </w:rPr>
        <w:t>water</w:t>
      </w:r>
      <w:r w:rsidR="00632347">
        <w:rPr>
          <w:rFonts w:cs="Arial"/>
        </w:rPr>
        <w:t xml:space="preserve"> service</w:t>
      </w:r>
      <w:r w:rsidR="00632347" w:rsidRPr="00632347">
        <w:rPr>
          <w:rFonts w:cs="Arial"/>
        </w:rPr>
        <w:t xml:space="preserve"> along </w:t>
      </w:r>
      <w:r>
        <w:rPr>
          <w:rFonts w:cs="Arial"/>
        </w:rPr>
        <w:t>Meetinghouse Lane</w:t>
      </w:r>
      <w:r w:rsidR="00632347" w:rsidRPr="00632347">
        <w:rPr>
          <w:rFonts w:cs="Arial"/>
        </w:rPr>
        <w:t xml:space="preserve"> via a</w:t>
      </w:r>
      <w:r w:rsidR="00096704">
        <w:rPr>
          <w:rFonts w:cs="Arial"/>
        </w:rPr>
        <w:t>n</w:t>
      </w:r>
      <w:r w:rsidR="00632347" w:rsidRPr="00632347">
        <w:rPr>
          <w:rFonts w:cs="Arial"/>
        </w:rPr>
        <w:t xml:space="preserve"> </w:t>
      </w:r>
      <w:r>
        <w:rPr>
          <w:rFonts w:cs="Arial"/>
        </w:rPr>
        <w:t>8</w:t>
      </w:r>
      <w:r w:rsidR="00632347" w:rsidRPr="00632347">
        <w:rPr>
          <w:rFonts w:cs="Arial"/>
        </w:rPr>
        <w:t>-inch water main</w:t>
      </w:r>
      <w:r>
        <w:rPr>
          <w:rFonts w:cs="Arial"/>
        </w:rPr>
        <w:t>, serviced by the North Sagamore Water District</w:t>
      </w:r>
      <w:r w:rsidR="00632347">
        <w:rPr>
          <w:rFonts w:cs="Arial"/>
        </w:rPr>
        <w:t xml:space="preserve">. </w:t>
      </w:r>
      <w:r w:rsidR="00D4326C">
        <w:rPr>
          <w:rFonts w:cs="Arial"/>
        </w:rPr>
        <w:t>A looped water</w:t>
      </w:r>
      <w:r w:rsidR="00767EAC">
        <w:rPr>
          <w:rFonts w:cs="Arial"/>
        </w:rPr>
        <w:t xml:space="preserve"> main </w:t>
      </w:r>
      <w:r w:rsidR="00D4326C">
        <w:rPr>
          <w:rFonts w:cs="Arial"/>
        </w:rPr>
        <w:t>is proposed for the site.</w:t>
      </w:r>
      <w:r w:rsidR="00CF7D13">
        <w:rPr>
          <w:rFonts w:cs="Arial"/>
        </w:rPr>
        <w:t xml:space="preserve"> The design plans, details and calculations have been submitted to the North Sagamore Water District.</w:t>
      </w:r>
      <w:r w:rsidR="00E73362">
        <w:rPr>
          <w:rFonts w:cs="Arial"/>
        </w:rPr>
        <w:t xml:space="preserve">  As set forth in the April 14, 2021 letter from the North Sagamore Water District (NSWD), the District has 18,940 gallons of water per day (gpd) of available capacity for new construction.  The projected water usage for the Project is only 8,610 gpd.</w:t>
      </w:r>
      <w:r w:rsidR="00533DAB" w:rsidRPr="00533DAB">
        <w:rPr>
          <w:rFonts w:cs="Arial"/>
        </w:rPr>
        <w:t xml:space="preserve">  </w:t>
      </w:r>
    </w:p>
    <w:p w14:paraId="53F197F2" w14:textId="16EE459C" w:rsidR="00632347" w:rsidRDefault="00745A12" w:rsidP="00174734">
      <w:pPr>
        <w:rPr>
          <w:rFonts w:cs="Arial"/>
        </w:rPr>
      </w:pPr>
      <w:r w:rsidRPr="0035571D">
        <w:rPr>
          <w:rFonts w:cs="Arial"/>
        </w:rPr>
        <w:t>Meetinghouse Lane</w:t>
      </w:r>
      <w:r w:rsidR="00632347" w:rsidRPr="0035571D">
        <w:rPr>
          <w:rFonts w:cs="Arial"/>
        </w:rPr>
        <w:t xml:space="preserve"> </w:t>
      </w:r>
      <w:r w:rsidRPr="0035571D">
        <w:rPr>
          <w:rFonts w:cs="Arial"/>
        </w:rPr>
        <w:t>provides</w:t>
      </w:r>
      <w:r w:rsidR="00632347" w:rsidRPr="0035571D">
        <w:rPr>
          <w:rFonts w:cs="Arial"/>
        </w:rPr>
        <w:t xml:space="preserve"> access to electric</w:t>
      </w:r>
      <w:r w:rsidR="0035571D">
        <w:rPr>
          <w:rFonts w:cs="Arial"/>
        </w:rPr>
        <w:t xml:space="preserve"> and gas</w:t>
      </w:r>
      <w:r w:rsidR="002E4AD0">
        <w:rPr>
          <w:rFonts w:cs="Arial"/>
        </w:rPr>
        <w:t xml:space="preserve">. </w:t>
      </w:r>
      <w:r w:rsidR="00632347">
        <w:rPr>
          <w:rFonts w:cs="Arial"/>
        </w:rPr>
        <w:t xml:space="preserve">A more </w:t>
      </w:r>
      <w:r w:rsidR="004B0408">
        <w:rPr>
          <w:rFonts w:cs="Arial"/>
        </w:rPr>
        <w:t xml:space="preserve">detailed description of the </w:t>
      </w:r>
      <w:r w:rsidR="004C30C5">
        <w:rPr>
          <w:rFonts w:cs="Arial"/>
        </w:rPr>
        <w:t xml:space="preserve">stormwater and </w:t>
      </w:r>
      <w:r w:rsidR="004B0408">
        <w:rPr>
          <w:rFonts w:cs="Arial"/>
        </w:rPr>
        <w:t>sewer</w:t>
      </w:r>
      <w:r w:rsidR="004C30C5">
        <w:rPr>
          <w:rFonts w:cs="Arial"/>
        </w:rPr>
        <w:t xml:space="preserve"> design</w:t>
      </w:r>
      <w:r w:rsidR="004B0408">
        <w:rPr>
          <w:rFonts w:cs="Arial"/>
        </w:rPr>
        <w:t xml:space="preserve"> is </w:t>
      </w:r>
      <w:r w:rsidR="00BF7CAB">
        <w:rPr>
          <w:rFonts w:cs="Arial"/>
        </w:rPr>
        <w:t>provided in Section 2.</w:t>
      </w:r>
      <w:r w:rsidR="004C30C5">
        <w:rPr>
          <w:rFonts w:cs="Arial"/>
        </w:rPr>
        <w:t xml:space="preserve">4.1 and 2.4.2 </w:t>
      </w:r>
      <w:r w:rsidR="00BF7CAB">
        <w:rPr>
          <w:rFonts w:cs="Arial"/>
        </w:rPr>
        <w:t xml:space="preserve"> below. </w:t>
      </w:r>
    </w:p>
    <w:p w14:paraId="3CE01A24" w14:textId="7CB1C06D" w:rsidR="00CA1362" w:rsidRPr="004C30C5" w:rsidRDefault="00CA1362" w:rsidP="00CA1362">
      <w:pPr>
        <w:pStyle w:val="Heading3"/>
        <w:rPr>
          <w:rFonts w:ascii="Futura Lt BT" w:eastAsiaTheme="minorHAnsi" w:hAnsi="Futura Lt BT" w:cstheme="minorBidi"/>
          <w:b/>
          <w:bCs w:val="0"/>
          <w:color w:val="4F81BD"/>
          <w:sz w:val="24"/>
          <w:u w:val="none"/>
        </w:rPr>
      </w:pPr>
      <w:r w:rsidRPr="004C30C5">
        <w:rPr>
          <w:rFonts w:ascii="Futura Lt BT" w:hAnsi="Futura Lt BT"/>
          <w:b/>
          <w:bCs w:val="0"/>
          <w:color w:val="4F81BD"/>
          <w:sz w:val="24"/>
          <w:u w:val="none"/>
        </w:rPr>
        <w:t xml:space="preserve">Stormwater </w:t>
      </w:r>
    </w:p>
    <w:p w14:paraId="49DD880B" w14:textId="0006E12A" w:rsidR="00CA1362" w:rsidRPr="001B4A76" w:rsidRDefault="00CA1362" w:rsidP="00CA1362">
      <w:pPr>
        <w:rPr>
          <w:rFonts w:cs="Arial"/>
        </w:rPr>
      </w:pPr>
      <w:r w:rsidRPr="001B4A76">
        <w:t xml:space="preserve">The proposed project </w:t>
      </w:r>
      <w:r>
        <w:t xml:space="preserve">will </w:t>
      </w:r>
      <w:r w:rsidRPr="001B4A76">
        <w:t xml:space="preserve">incorporate a series of </w:t>
      </w:r>
      <w:r>
        <w:t xml:space="preserve">stormwater infiltration, and </w:t>
      </w:r>
      <w:r w:rsidRPr="001B4A76">
        <w:t xml:space="preserve">green </w:t>
      </w:r>
      <w:r>
        <w:t xml:space="preserve">stormwater </w:t>
      </w:r>
      <w:r w:rsidRPr="001B4A76">
        <w:t>infrastructure (G</w:t>
      </w:r>
      <w:r>
        <w:t>S</w:t>
      </w:r>
      <w:r w:rsidRPr="001B4A76">
        <w:t xml:space="preserve">I) practices into the overall site and landscape design. The design includes natural practices such as bioretention </w:t>
      </w:r>
      <w:r>
        <w:t>areas,</w:t>
      </w:r>
      <w:r w:rsidRPr="001B4A76">
        <w:t xml:space="preserve"> </w:t>
      </w:r>
      <w:r w:rsidR="00096704">
        <w:t xml:space="preserve">tree </w:t>
      </w:r>
      <w:r w:rsidR="00A1014B">
        <w:t>trenches swales</w:t>
      </w:r>
      <w:r>
        <w:t xml:space="preserve">, </w:t>
      </w:r>
      <w:r w:rsidR="00096704">
        <w:t>and</w:t>
      </w:r>
      <w:r>
        <w:t xml:space="preserve"> underground </w:t>
      </w:r>
      <w:r w:rsidR="00096704">
        <w:t xml:space="preserve">recharge </w:t>
      </w:r>
      <w:r>
        <w:t>chambers</w:t>
      </w:r>
      <w:r w:rsidRPr="001B4A76">
        <w:t xml:space="preserve"> to manage the onsite runoff. </w:t>
      </w:r>
      <w:r>
        <w:t>T</w:t>
      </w:r>
      <w:r w:rsidRPr="001B4A76">
        <w:rPr>
          <w:rFonts w:cs="Arial"/>
        </w:rPr>
        <w:t xml:space="preserve">he </w:t>
      </w:r>
      <w:r>
        <w:rPr>
          <w:rFonts w:cs="Arial"/>
        </w:rPr>
        <w:t>s</w:t>
      </w:r>
      <w:r w:rsidRPr="001B4A76">
        <w:rPr>
          <w:rFonts w:cs="Arial"/>
        </w:rPr>
        <w:t xml:space="preserve">tormwater </w:t>
      </w:r>
      <w:r>
        <w:rPr>
          <w:rFonts w:cs="Arial"/>
        </w:rPr>
        <w:t>m</w:t>
      </w:r>
      <w:r w:rsidRPr="001B4A76">
        <w:rPr>
          <w:rFonts w:cs="Arial"/>
        </w:rPr>
        <w:t xml:space="preserve">anagement </w:t>
      </w:r>
      <w:r>
        <w:rPr>
          <w:rFonts w:cs="Arial"/>
        </w:rPr>
        <w:t>s</w:t>
      </w:r>
      <w:r w:rsidRPr="001B4A76">
        <w:rPr>
          <w:rFonts w:cs="Arial"/>
        </w:rPr>
        <w:t xml:space="preserve">ystem </w:t>
      </w:r>
      <w:r>
        <w:rPr>
          <w:rFonts w:cs="Arial"/>
        </w:rPr>
        <w:t>is</w:t>
      </w:r>
      <w:r w:rsidRPr="001B4A76">
        <w:rPr>
          <w:rFonts w:cs="Arial"/>
        </w:rPr>
        <w:t xml:space="preserve"> designed to accomplish the following major objectives:</w:t>
      </w:r>
    </w:p>
    <w:p w14:paraId="52B8F938" w14:textId="3CEA9A17" w:rsidR="00CA1362" w:rsidRPr="001B4A76" w:rsidRDefault="00CA1362" w:rsidP="0034337E">
      <w:pPr>
        <w:numPr>
          <w:ilvl w:val="0"/>
          <w:numId w:val="32"/>
        </w:numPr>
        <w:spacing w:after="60"/>
        <w:rPr>
          <w:rFonts w:cs="Arial"/>
        </w:rPr>
      </w:pPr>
      <w:r w:rsidRPr="001B4A76">
        <w:rPr>
          <w:rFonts w:cs="Arial"/>
        </w:rPr>
        <w:t>To capture and treat, at a minimum, the “first flush” (first one-inch of stormwater runoff) from the impervious surfaces</w:t>
      </w:r>
      <w:r w:rsidR="00096704">
        <w:rPr>
          <w:rFonts w:cs="Arial"/>
        </w:rPr>
        <w:t>.</w:t>
      </w:r>
    </w:p>
    <w:p w14:paraId="1D3DB06A" w14:textId="77777777" w:rsidR="00CA1362" w:rsidRPr="001B4A76" w:rsidRDefault="00CA1362" w:rsidP="0034337E">
      <w:pPr>
        <w:numPr>
          <w:ilvl w:val="0"/>
          <w:numId w:val="32"/>
        </w:numPr>
        <w:spacing w:after="60"/>
        <w:rPr>
          <w:rFonts w:cs="Arial"/>
        </w:rPr>
      </w:pPr>
      <w:r w:rsidRPr="001B4A76">
        <w:rPr>
          <w:rFonts w:cs="Arial"/>
        </w:rPr>
        <w:lastRenderedPageBreak/>
        <w:t>To provide groundwater recharge to the greatest extent practicable in conformance with the Massachusetts Department of Environmental Protection groundwater recharge criteria</w:t>
      </w:r>
      <w:r>
        <w:rPr>
          <w:rFonts w:cs="Arial"/>
        </w:rPr>
        <w:t>.</w:t>
      </w:r>
    </w:p>
    <w:p w14:paraId="62A58888" w14:textId="77777777" w:rsidR="00CA1362" w:rsidRPr="001B4A76" w:rsidRDefault="00CA1362" w:rsidP="0034337E">
      <w:pPr>
        <w:numPr>
          <w:ilvl w:val="0"/>
          <w:numId w:val="32"/>
        </w:numPr>
        <w:spacing w:after="120"/>
        <w:rPr>
          <w:rFonts w:cs="Arial"/>
        </w:rPr>
      </w:pPr>
      <w:r w:rsidRPr="001B4A76">
        <w:rPr>
          <w:rFonts w:cs="Arial"/>
        </w:rPr>
        <w:t>To minimize runoff from the post-developed conditions at the study points located along the periphery of the site</w:t>
      </w:r>
      <w:r>
        <w:rPr>
          <w:rFonts w:cs="Arial"/>
        </w:rPr>
        <w:t>.</w:t>
      </w:r>
    </w:p>
    <w:p w14:paraId="0373A1D3" w14:textId="77777777" w:rsidR="00CA1362" w:rsidRPr="001B4A76" w:rsidRDefault="00CA1362" w:rsidP="0034337E">
      <w:pPr>
        <w:spacing w:after="120"/>
        <w:rPr>
          <w:rFonts w:cs="Arial"/>
        </w:rPr>
      </w:pPr>
      <w:r w:rsidRPr="001B4A76">
        <w:rPr>
          <w:rFonts w:cs="Arial"/>
        </w:rPr>
        <w:t>These objectives are met through the use of the following stormwater management measures:</w:t>
      </w:r>
    </w:p>
    <w:p w14:paraId="0613DC05" w14:textId="4AA25A97" w:rsidR="00CA1362" w:rsidRPr="001B4A76" w:rsidRDefault="00CA1362" w:rsidP="0034337E">
      <w:pPr>
        <w:numPr>
          <w:ilvl w:val="0"/>
          <w:numId w:val="33"/>
        </w:numPr>
        <w:spacing w:after="60"/>
        <w:rPr>
          <w:rFonts w:cs="Arial"/>
        </w:rPr>
      </w:pPr>
      <w:r>
        <w:rPr>
          <w:rFonts w:cs="Arial"/>
        </w:rPr>
        <w:t>GSI practices</w:t>
      </w:r>
      <w:r w:rsidR="00DD1E2B">
        <w:rPr>
          <w:rFonts w:cs="Arial"/>
        </w:rPr>
        <w:t xml:space="preserve"> (e.g., bioretention and tree trenches)</w:t>
      </w:r>
      <w:r w:rsidRPr="001B4A76">
        <w:rPr>
          <w:rFonts w:cs="Arial"/>
        </w:rPr>
        <w:t xml:space="preserve"> sized to </w:t>
      </w:r>
      <w:r>
        <w:rPr>
          <w:rFonts w:cs="Arial"/>
        </w:rPr>
        <w:t>provide</w:t>
      </w:r>
      <w:r w:rsidRPr="001B4A76">
        <w:rPr>
          <w:rFonts w:cs="Arial"/>
        </w:rPr>
        <w:t xml:space="preserve"> water quality treatment f</w:t>
      </w:r>
      <w:r>
        <w:rPr>
          <w:rFonts w:cs="Arial"/>
        </w:rPr>
        <w:t>or</w:t>
      </w:r>
      <w:r w:rsidRPr="001B4A76">
        <w:rPr>
          <w:rFonts w:cs="Arial"/>
        </w:rPr>
        <w:t xml:space="preserve"> the driveway, walkways, and parking area</w:t>
      </w:r>
      <w:r>
        <w:rPr>
          <w:rFonts w:cs="Arial"/>
        </w:rPr>
        <w:t xml:space="preserve"> runoff</w:t>
      </w:r>
      <w:r w:rsidRPr="001B4A76">
        <w:rPr>
          <w:rFonts w:cs="Arial"/>
        </w:rPr>
        <w:t>.</w:t>
      </w:r>
      <w:r>
        <w:rPr>
          <w:rFonts w:cs="Arial"/>
        </w:rPr>
        <w:t xml:space="preserve"> </w:t>
      </w:r>
      <w:r w:rsidRPr="001B4A76">
        <w:rPr>
          <w:rFonts w:cs="Arial"/>
        </w:rPr>
        <w:t>The systems are equipped with overflows to convey runoff from larger storm events into proposed underground recharge chambers.</w:t>
      </w:r>
    </w:p>
    <w:p w14:paraId="013BAFFB" w14:textId="3BEAC793" w:rsidR="00CA1362" w:rsidRPr="001B4A76" w:rsidRDefault="00DD1E2B" w:rsidP="0034337E">
      <w:pPr>
        <w:numPr>
          <w:ilvl w:val="0"/>
          <w:numId w:val="33"/>
        </w:numPr>
        <w:spacing w:after="60"/>
        <w:rPr>
          <w:rFonts w:cs="Arial"/>
        </w:rPr>
      </w:pPr>
      <w:r>
        <w:rPr>
          <w:rFonts w:cs="Arial"/>
        </w:rPr>
        <w:t>U</w:t>
      </w:r>
      <w:r w:rsidR="00CA1362" w:rsidRPr="001B4A76">
        <w:rPr>
          <w:rFonts w:cs="Arial"/>
        </w:rPr>
        <w:t>nderground recharge chambers</w:t>
      </w:r>
      <w:r>
        <w:rPr>
          <w:rFonts w:cs="Arial"/>
        </w:rPr>
        <w:t xml:space="preserve"> and recharge basins</w:t>
      </w:r>
      <w:r w:rsidR="00CA1362" w:rsidRPr="001B4A76">
        <w:rPr>
          <w:rFonts w:cs="Arial"/>
        </w:rPr>
        <w:t xml:space="preserve"> sized to retain and infiltrate onsite runoff</w:t>
      </w:r>
      <w:r w:rsidR="00096704">
        <w:rPr>
          <w:rFonts w:cs="Arial"/>
        </w:rPr>
        <w:t>.</w:t>
      </w:r>
      <w:r w:rsidR="00CA1362">
        <w:rPr>
          <w:rFonts w:cs="Arial"/>
        </w:rPr>
        <w:t xml:space="preserve"> </w:t>
      </w:r>
    </w:p>
    <w:p w14:paraId="57F1F1ED" w14:textId="5F6A6254" w:rsidR="00CA1362" w:rsidRPr="00BE3A01" w:rsidRDefault="00CA1362" w:rsidP="00CA1362">
      <w:r>
        <w:t>See the “</w:t>
      </w:r>
      <w:r>
        <w:rPr>
          <w:i/>
          <w:iCs/>
        </w:rPr>
        <w:t>Stormwater Analysis and Drainage Report</w:t>
      </w:r>
      <w:r>
        <w:t xml:space="preserve">” prepared by Horsley Witten Group, Inc. </w:t>
      </w:r>
      <w:r w:rsidR="004D6EE6">
        <w:t>(</w:t>
      </w:r>
      <w:r w:rsidR="002F2914">
        <w:t>Attachment 5</w:t>
      </w:r>
      <w:r w:rsidR="004D6EE6">
        <w:t>)</w:t>
      </w:r>
      <w:r>
        <w:t xml:space="preserve"> for additional information</w:t>
      </w:r>
      <w:r w:rsidR="004D6EE6">
        <w:t xml:space="preserve"> and the “</w:t>
      </w:r>
      <w:r w:rsidR="004D6EE6" w:rsidRPr="004D6EE6">
        <w:rPr>
          <w:i/>
          <w:iCs/>
        </w:rPr>
        <w:t>Stormwater Management Maintenance Plan</w:t>
      </w:r>
      <w:r w:rsidR="004D6EE6">
        <w:t xml:space="preserve">” (Attachment 6) for the operation and maintenance requirements.  </w:t>
      </w:r>
    </w:p>
    <w:bookmarkEnd w:id="16"/>
    <w:p w14:paraId="24B45539" w14:textId="602CF749" w:rsidR="00632347" w:rsidRPr="004C30C5" w:rsidRDefault="00632347" w:rsidP="00CA1362">
      <w:pPr>
        <w:pStyle w:val="Heading3"/>
        <w:rPr>
          <w:rFonts w:ascii="Futura Lt BT" w:hAnsi="Futura Lt BT"/>
          <w:b/>
          <w:bCs w:val="0"/>
          <w:color w:val="4F81BD"/>
          <w:sz w:val="24"/>
          <w:u w:val="none"/>
        </w:rPr>
      </w:pPr>
      <w:r w:rsidRPr="004C30C5">
        <w:rPr>
          <w:rFonts w:ascii="Futura Lt BT" w:hAnsi="Futura Lt BT"/>
          <w:b/>
          <w:bCs w:val="0"/>
          <w:color w:val="4F81BD"/>
          <w:sz w:val="24"/>
          <w:u w:val="none"/>
        </w:rPr>
        <w:t>Wastewater</w:t>
      </w:r>
    </w:p>
    <w:p w14:paraId="35363E81" w14:textId="2E845293" w:rsidR="00632347" w:rsidRPr="00014DDF" w:rsidRDefault="00CF7D13" w:rsidP="00174734">
      <w:r w:rsidRPr="00014DDF">
        <w:t>Public sewers are not available</w:t>
      </w:r>
      <w:r w:rsidR="0000242E">
        <w:t xml:space="preserve"> and,</w:t>
      </w:r>
      <w:r w:rsidRPr="00014DDF">
        <w:t xml:space="preserve"> therefore</w:t>
      </w:r>
      <w:r w:rsidR="0000242E">
        <w:t>,</w:t>
      </w:r>
      <w:r w:rsidRPr="00014DDF">
        <w:t xml:space="preserve"> the Development will require an onsite wastewater treatment system. </w:t>
      </w:r>
      <w:r w:rsidR="000163C2" w:rsidRPr="00014DDF">
        <w:t>A w</w:t>
      </w:r>
      <w:r w:rsidR="00632347" w:rsidRPr="00014DDF">
        <w:t>astewater design flow</w:t>
      </w:r>
      <w:r w:rsidR="000163C2" w:rsidRPr="00014DDF">
        <w:t xml:space="preserve"> assessment was performed, </w:t>
      </w:r>
      <w:r w:rsidR="00632347" w:rsidRPr="00014DDF">
        <w:t xml:space="preserve">based on Title 5 design flow criteria, 310 CMR 15.203, for proposed uses at the site and is provided below in </w:t>
      </w:r>
      <w:r w:rsidR="00DD1E2B" w:rsidRPr="00014DDF">
        <w:t xml:space="preserve">Table </w:t>
      </w:r>
      <w:r w:rsidR="000E3D40">
        <w:t>4</w:t>
      </w:r>
      <w:r w:rsidR="00632347" w:rsidRPr="00014DDF">
        <w:t xml:space="preserve">. </w:t>
      </w:r>
      <w:r w:rsidR="008E7113" w:rsidRPr="00014DDF">
        <w:t xml:space="preserve">Title 5 flow is typically considered a max day flow. </w:t>
      </w:r>
      <w:r w:rsidR="00632347" w:rsidRPr="00014DDF">
        <w:t xml:space="preserve">The estimated design flow is approximately </w:t>
      </w:r>
      <w:r w:rsidR="00014DDF" w:rsidRPr="00014DDF">
        <w:t>9</w:t>
      </w:r>
      <w:r w:rsidR="00632347" w:rsidRPr="00014DDF">
        <w:t>,</w:t>
      </w:r>
      <w:r w:rsidR="00014DDF" w:rsidRPr="00014DDF">
        <w:t>9</w:t>
      </w:r>
      <w:r w:rsidR="00632347" w:rsidRPr="00014DDF">
        <w:t xml:space="preserve">00 gallons per day (gpd).  </w:t>
      </w:r>
    </w:p>
    <w:p w14:paraId="7386024A" w14:textId="03388FCF" w:rsidR="00632347" w:rsidRPr="00014DDF" w:rsidRDefault="00632347" w:rsidP="00174734">
      <w:pPr>
        <w:spacing w:after="120"/>
        <w:rPr>
          <w:b/>
          <w:bCs/>
          <w:color w:val="365F91" w:themeColor="accent1" w:themeShade="BF"/>
        </w:rPr>
      </w:pPr>
      <w:r w:rsidRPr="00014DDF">
        <w:rPr>
          <w:b/>
          <w:bCs/>
          <w:color w:val="365F91" w:themeColor="accent1" w:themeShade="BF"/>
        </w:rPr>
        <w:t xml:space="preserve">Table </w:t>
      </w:r>
      <w:r w:rsidR="000E3D40">
        <w:rPr>
          <w:b/>
          <w:bCs/>
          <w:color w:val="365F91" w:themeColor="accent1" w:themeShade="BF"/>
        </w:rPr>
        <w:t>4</w:t>
      </w:r>
      <w:r w:rsidR="003C0D26" w:rsidRPr="00014DDF">
        <w:rPr>
          <w:b/>
          <w:bCs/>
          <w:color w:val="365F91" w:themeColor="accent1" w:themeShade="BF"/>
        </w:rPr>
        <w:t xml:space="preserve"> </w:t>
      </w:r>
      <w:r w:rsidRPr="00014DDF">
        <w:rPr>
          <w:b/>
          <w:bCs/>
          <w:color w:val="365F91" w:themeColor="accent1" w:themeShade="BF"/>
        </w:rPr>
        <w:t xml:space="preserve">– Proposed </w:t>
      </w:r>
      <w:r w:rsidR="00E61837" w:rsidRPr="00014DDF">
        <w:rPr>
          <w:b/>
          <w:bCs/>
          <w:color w:val="365F91" w:themeColor="accent1" w:themeShade="BF"/>
        </w:rPr>
        <w:t>Wastewater Design</w:t>
      </w:r>
      <w:r w:rsidRPr="00014DDF">
        <w:rPr>
          <w:b/>
          <w:bCs/>
          <w:color w:val="365F91" w:themeColor="accent1" w:themeShade="BF"/>
        </w:rPr>
        <w:t xml:space="preserve"> Flow</w:t>
      </w:r>
    </w:p>
    <w:tbl>
      <w:tblPr>
        <w:tblW w:w="9342" w:type="dxa"/>
        <w:tblInd w:w="-5" w:type="dxa"/>
        <w:tblLook w:val="04A0" w:firstRow="1" w:lastRow="0" w:firstColumn="1" w:lastColumn="0" w:noHBand="0" w:noVBand="1"/>
      </w:tblPr>
      <w:tblGrid>
        <w:gridCol w:w="2525"/>
        <w:gridCol w:w="972"/>
        <w:gridCol w:w="1165"/>
        <w:gridCol w:w="1260"/>
        <w:gridCol w:w="1260"/>
        <w:gridCol w:w="990"/>
        <w:gridCol w:w="1170"/>
      </w:tblGrid>
      <w:tr w:rsidR="004555AF" w:rsidRPr="00014DDF" w14:paraId="1768DD4D" w14:textId="77777777" w:rsidTr="00430F06">
        <w:trPr>
          <w:trHeight w:val="491"/>
        </w:trPr>
        <w:tc>
          <w:tcPr>
            <w:tcW w:w="2525" w:type="dxa"/>
            <w:vMerge w:val="restart"/>
            <w:tcBorders>
              <w:top w:val="single" w:sz="4" w:space="0" w:color="auto"/>
              <w:bottom w:val="single" w:sz="4" w:space="0" w:color="auto"/>
            </w:tcBorders>
            <w:shd w:val="clear" w:color="auto" w:fill="C6D9F1" w:themeFill="text2" w:themeFillTint="33"/>
            <w:noWrap/>
            <w:vAlign w:val="center"/>
            <w:hideMark/>
          </w:tcPr>
          <w:p w14:paraId="7712C924" w14:textId="77777777" w:rsidR="004555AF" w:rsidRPr="00014DDF" w:rsidRDefault="004555AF" w:rsidP="00174734">
            <w:pPr>
              <w:spacing w:after="0"/>
              <w:jc w:val="center"/>
              <w:rPr>
                <w:rFonts w:cs="Arial"/>
                <w:b/>
                <w:bCs/>
                <w:color w:val="000000"/>
                <w:sz w:val="20"/>
                <w:szCs w:val="20"/>
              </w:rPr>
            </w:pPr>
            <w:r w:rsidRPr="00014DDF">
              <w:rPr>
                <w:rFonts w:cs="Arial"/>
                <w:b/>
                <w:bCs/>
                <w:color w:val="000000"/>
                <w:sz w:val="20"/>
                <w:szCs w:val="20"/>
              </w:rPr>
              <w:t>Description</w:t>
            </w:r>
          </w:p>
        </w:tc>
        <w:tc>
          <w:tcPr>
            <w:tcW w:w="972" w:type="dxa"/>
            <w:vMerge w:val="restart"/>
            <w:tcBorders>
              <w:top w:val="single" w:sz="4" w:space="0" w:color="auto"/>
              <w:bottom w:val="single" w:sz="4" w:space="0" w:color="auto"/>
            </w:tcBorders>
            <w:shd w:val="clear" w:color="auto" w:fill="C6D9F1" w:themeFill="text2" w:themeFillTint="33"/>
            <w:noWrap/>
            <w:vAlign w:val="center"/>
            <w:hideMark/>
          </w:tcPr>
          <w:p w14:paraId="66C86A84" w14:textId="3EEF6E2B" w:rsidR="004555AF" w:rsidRPr="00014DDF" w:rsidRDefault="004C2522" w:rsidP="00174734">
            <w:pPr>
              <w:spacing w:after="0"/>
              <w:jc w:val="center"/>
              <w:rPr>
                <w:rFonts w:cs="Arial"/>
                <w:b/>
                <w:bCs/>
                <w:color w:val="000000"/>
                <w:sz w:val="20"/>
                <w:szCs w:val="20"/>
              </w:rPr>
            </w:pPr>
            <w:r w:rsidRPr="00014DDF">
              <w:rPr>
                <w:rFonts w:cs="Arial"/>
                <w:b/>
                <w:bCs/>
                <w:color w:val="000000"/>
                <w:sz w:val="20"/>
                <w:szCs w:val="20"/>
              </w:rPr>
              <w:t>Unit Type</w:t>
            </w:r>
          </w:p>
        </w:tc>
        <w:tc>
          <w:tcPr>
            <w:tcW w:w="1165" w:type="dxa"/>
            <w:vMerge w:val="restart"/>
            <w:tcBorders>
              <w:top w:val="single" w:sz="4" w:space="0" w:color="auto"/>
              <w:bottom w:val="single" w:sz="4" w:space="0" w:color="auto"/>
            </w:tcBorders>
            <w:shd w:val="clear" w:color="auto" w:fill="C6D9F1" w:themeFill="text2" w:themeFillTint="33"/>
            <w:vAlign w:val="center"/>
          </w:tcPr>
          <w:p w14:paraId="26BB5873" w14:textId="5BCE2F16" w:rsidR="004555AF" w:rsidRPr="00014DDF" w:rsidRDefault="004C2522" w:rsidP="00174734">
            <w:pPr>
              <w:spacing w:after="0"/>
              <w:jc w:val="center"/>
              <w:rPr>
                <w:rFonts w:cs="Arial"/>
                <w:b/>
                <w:bCs/>
                <w:color w:val="000000"/>
                <w:sz w:val="20"/>
                <w:szCs w:val="20"/>
              </w:rPr>
            </w:pPr>
            <w:r w:rsidRPr="00014DDF">
              <w:rPr>
                <w:rFonts w:cs="Arial"/>
                <w:b/>
                <w:bCs/>
                <w:color w:val="000000"/>
                <w:sz w:val="20"/>
                <w:szCs w:val="20"/>
              </w:rPr>
              <w:t>Number of Units</w:t>
            </w:r>
          </w:p>
        </w:tc>
        <w:tc>
          <w:tcPr>
            <w:tcW w:w="1260" w:type="dxa"/>
            <w:vMerge w:val="restart"/>
            <w:tcBorders>
              <w:top w:val="single" w:sz="4" w:space="0" w:color="auto"/>
              <w:bottom w:val="single" w:sz="4" w:space="0" w:color="auto"/>
            </w:tcBorders>
            <w:shd w:val="clear" w:color="auto" w:fill="C6D9F1" w:themeFill="text2" w:themeFillTint="33"/>
            <w:vAlign w:val="center"/>
            <w:hideMark/>
          </w:tcPr>
          <w:p w14:paraId="7C3CFCAE" w14:textId="7C1627EF" w:rsidR="004555AF" w:rsidRPr="00014DDF" w:rsidRDefault="004555AF" w:rsidP="00174734">
            <w:pPr>
              <w:spacing w:after="0"/>
              <w:jc w:val="center"/>
              <w:rPr>
                <w:rFonts w:cs="Arial"/>
                <w:b/>
                <w:bCs/>
                <w:color w:val="000000"/>
                <w:sz w:val="20"/>
                <w:szCs w:val="20"/>
              </w:rPr>
            </w:pPr>
            <w:r w:rsidRPr="00014DDF">
              <w:rPr>
                <w:rFonts w:cs="Arial"/>
                <w:b/>
                <w:bCs/>
                <w:color w:val="000000"/>
                <w:sz w:val="20"/>
                <w:szCs w:val="20"/>
              </w:rPr>
              <w:t>Bedrooms per unit</w:t>
            </w:r>
          </w:p>
        </w:tc>
        <w:tc>
          <w:tcPr>
            <w:tcW w:w="1260" w:type="dxa"/>
            <w:vMerge w:val="restart"/>
            <w:tcBorders>
              <w:top w:val="single" w:sz="4" w:space="0" w:color="auto"/>
              <w:bottom w:val="single" w:sz="4" w:space="0" w:color="auto"/>
            </w:tcBorders>
            <w:shd w:val="clear" w:color="auto" w:fill="C6D9F1" w:themeFill="text2" w:themeFillTint="33"/>
            <w:vAlign w:val="center"/>
            <w:hideMark/>
          </w:tcPr>
          <w:p w14:paraId="4AB6954C" w14:textId="790702EB" w:rsidR="004555AF" w:rsidRPr="00014DDF" w:rsidRDefault="004555AF" w:rsidP="00174734">
            <w:pPr>
              <w:spacing w:after="0"/>
              <w:jc w:val="center"/>
              <w:rPr>
                <w:rFonts w:cs="Arial"/>
                <w:b/>
                <w:bCs/>
                <w:color w:val="000000"/>
                <w:sz w:val="20"/>
                <w:szCs w:val="20"/>
              </w:rPr>
            </w:pPr>
            <w:r w:rsidRPr="00014DDF">
              <w:rPr>
                <w:rFonts w:cs="Arial"/>
                <w:b/>
                <w:bCs/>
                <w:color w:val="000000"/>
                <w:sz w:val="20"/>
                <w:szCs w:val="20"/>
              </w:rPr>
              <w:t>Total bedrooms</w:t>
            </w:r>
          </w:p>
        </w:tc>
        <w:tc>
          <w:tcPr>
            <w:tcW w:w="990" w:type="dxa"/>
            <w:vMerge w:val="restart"/>
            <w:tcBorders>
              <w:top w:val="single" w:sz="4" w:space="0" w:color="auto"/>
              <w:bottom w:val="single" w:sz="4" w:space="0" w:color="auto"/>
            </w:tcBorders>
            <w:shd w:val="clear" w:color="auto" w:fill="C6D9F1" w:themeFill="text2" w:themeFillTint="33"/>
            <w:vAlign w:val="center"/>
            <w:hideMark/>
          </w:tcPr>
          <w:p w14:paraId="598A68A3" w14:textId="77777777" w:rsidR="004555AF" w:rsidRPr="00014DDF" w:rsidRDefault="004555AF" w:rsidP="00174734">
            <w:pPr>
              <w:spacing w:after="0"/>
              <w:jc w:val="center"/>
              <w:rPr>
                <w:rFonts w:cs="Arial"/>
                <w:b/>
                <w:bCs/>
                <w:color w:val="000000"/>
                <w:sz w:val="20"/>
                <w:szCs w:val="20"/>
              </w:rPr>
            </w:pPr>
            <w:r w:rsidRPr="00014DDF">
              <w:rPr>
                <w:rFonts w:cs="Arial"/>
                <w:b/>
                <w:bCs/>
                <w:color w:val="000000"/>
                <w:sz w:val="20"/>
                <w:szCs w:val="20"/>
              </w:rPr>
              <w:t>Flow Rate (GPD)</w:t>
            </w:r>
          </w:p>
        </w:tc>
        <w:tc>
          <w:tcPr>
            <w:tcW w:w="1170" w:type="dxa"/>
            <w:vMerge w:val="restart"/>
            <w:tcBorders>
              <w:top w:val="single" w:sz="4" w:space="0" w:color="auto"/>
              <w:bottom w:val="single" w:sz="4" w:space="0" w:color="auto"/>
            </w:tcBorders>
            <w:shd w:val="clear" w:color="auto" w:fill="C6D9F1" w:themeFill="text2" w:themeFillTint="33"/>
            <w:vAlign w:val="center"/>
            <w:hideMark/>
          </w:tcPr>
          <w:p w14:paraId="2DDD21DD" w14:textId="77777777" w:rsidR="004555AF" w:rsidRPr="00014DDF" w:rsidRDefault="004555AF" w:rsidP="00174734">
            <w:pPr>
              <w:spacing w:after="0"/>
              <w:jc w:val="center"/>
              <w:rPr>
                <w:rFonts w:cs="Arial"/>
                <w:b/>
                <w:bCs/>
                <w:color w:val="000000"/>
                <w:sz w:val="20"/>
                <w:szCs w:val="20"/>
              </w:rPr>
            </w:pPr>
            <w:r w:rsidRPr="00014DDF">
              <w:rPr>
                <w:rFonts w:cs="Arial"/>
                <w:b/>
                <w:bCs/>
                <w:color w:val="000000"/>
                <w:sz w:val="20"/>
                <w:szCs w:val="20"/>
              </w:rPr>
              <w:t>Total Design Flow (GPD)</w:t>
            </w:r>
          </w:p>
        </w:tc>
      </w:tr>
      <w:tr w:rsidR="004555AF" w:rsidRPr="00014DDF" w14:paraId="1BB85B7D" w14:textId="77777777" w:rsidTr="00430F06">
        <w:trPr>
          <w:trHeight w:val="491"/>
        </w:trPr>
        <w:tc>
          <w:tcPr>
            <w:tcW w:w="2525" w:type="dxa"/>
            <w:vMerge/>
            <w:tcBorders>
              <w:bottom w:val="single" w:sz="4" w:space="0" w:color="auto"/>
            </w:tcBorders>
            <w:shd w:val="clear" w:color="auto" w:fill="C6D9F1" w:themeFill="text2" w:themeFillTint="33"/>
            <w:vAlign w:val="center"/>
            <w:hideMark/>
          </w:tcPr>
          <w:p w14:paraId="2CFE876D" w14:textId="77777777" w:rsidR="004555AF" w:rsidRPr="00014DDF" w:rsidRDefault="004555AF" w:rsidP="00174734">
            <w:pPr>
              <w:spacing w:after="0"/>
              <w:rPr>
                <w:rFonts w:cs="Arial"/>
                <w:b/>
                <w:bCs/>
                <w:color w:val="000000"/>
                <w:sz w:val="20"/>
                <w:szCs w:val="20"/>
              </w:rPr>
            </w:pPr>
          </w:p>
        </w:tc>
        <w:tc>
          <w:tcPr>
            <w:tcW w:w="972" w:type="dxa"/>
            <w:vMerge/>
            <w:tcBorders>
              <w:bottom w:val="single" w:sz="4" w:space="0" w:color="auto"/>
            </w:tcBorders>
            <w:shd w:val="clear" w:color="auto" w:fill="C6D9F1" w:themeFill="text2" w:themeFillTint="33"/>
            <w:vAlign w:val="center"/>
            <w:hideMark/>
          </w:tcPr>
          <w:p w14:paraId="5CCB8014" w14:textId="77777777" w:rsidR="004555AF" w:rsidRPr="00014DDF" w:rsidRDefault="004555AF" w:rsidP="00174734">
            <w:pPr>
              <w:spacing w:after="0"/>
              <w:rPr>
                <w:rFonts w:cs="Arial"/>
                <w:b/>
                <w:bCs/>
                <w:color w:val="000000"/>
                <w:sz w:val="20"/>
                <w:szCs w:val="20"/>
              </w:rPr>
            </w:pPr>
          </w:p>
        </w:tc>
        <w:tc>
          <w:tcPr>
            <w:tcW w:w="1165" w:type="dxa"/>
            <w:vMerge/>
            <w:tcBorders>
              <w:bottom w:val="single" w:sz="4" w:space="0" w:color="auto"/>
            </w:tcBorders>
            <w:shd w:val="clear" w:color="auto" w:fill="C6D9F1" w:themeFill="text2" w:themeFillTint="33"/>
            <w:vAlign w:val="center"/>
          </w:tcPr>
          <w:p w14:paraId="3B9E19C5" w14:textId="4E102796" w:rsidR="004555AF" w:rsidRPr="00014DDF" w:rsidRDefault="004555AF" w:rsidP="00174734">
            <w:pPr>
              <w:spacing w:after="0"/>
              <w:rPr>
                <w:rFonts w:cs="Arial"/>
                <w:b/>
                <w:bCs/>
                <w:color w:val="000000"/>
                <w:sz w:val="20"/>
                <w:szCs w:val="20"/>
              </w:rPr>
            </w:pPr>
          </w:p>
        </w:tc>
        <w:tc>
          <w:tcPr>
            <w:tcW w:w="1260" w:type="dxa"/>
            <w:vMerge/>
            <w:tcBorders>
              <w:bottom w:val="single" w:sz="4" w:space="0" w:color="auto"/>
            </w:tcBorders>
            <w:shd w:val="clear" w:color="auto" w:fill="C6D9F1" w:themeFill="text2" w:themeFillTint="33"/>
            <w:vAlign w:val="center"/>
            <w:hideMark/>
          </w:tcPr>
          <w:p w14:paraId="3B4F64BF" w14:textId="77777777" w:rsidR="004555AF" w:rsidRPr="00014DDF" w:rsidRDefault="004555AF" w:rsidP="00174734">
            <w:pPr>
              <w:spacing w:after="0"/>
              <w:rPr>
                <w:rFonts w:cs="Arial"/>
                <w:b/>
                <w:bCs/>
                <w:color w:val="000000"/>
                <w:sz w:val="20"/>
                <w:szCs w:val="20"/>
              </w:rPr>
            </w:pPr>
          </w:p>
        </w:tc>
        <w:tc>
          <w:tcPr>
            <w:tcW w:w="1260" w:type="dxa"/>
            <w:vMerge/>
            <w:tcBorders>
              <w:bottom w:val="single" w:sz="4" w:space="0" w:color="auto"/>
            </w:tcBorders>
            <w:shd w:val="clear" w:color="auto" w:fill="C6D9F1" w:themeFill="text2" w:themeFillTint="33"/>
            <w:vAlign w:val="center"/>
            <w:hideMark/>
          </w:tcPr>
          <w:p w14:paraId="6FD8C67B" w14:textId="77777777" w:rsidR="004555AF" w:rsidRPr="00014DDF" w:rsidRDefault="004555AF" w:rsidP="00174734">
            <w:pPr>
              <w:spacing w:after="0"/>
              <w:rPr>
                <w:rFonts w:cs="Arial"/>
                <w:b/>
                <w:bCs/>
                <w:color w:val="000000"/>
                <w:sz w:val="20"/>
                <w:szCs w:val="20"/>
              </w:rPr>
            </w:pPr>
          </w:p>
        </w:tc>
        <w:tc>
          <w:tcPr>
            <w:tcW w:w="990" w:type="dxa"/>
            <w:vMerge/>
            <w:tcBorders>
              <w:bottom w:val="single" w:sz="4" w:space="0" w:color="auto"/>
            </w:tcBorders>
            <w:shd w:val="clear" w:color="auto" w:fill="C6D9F1" w:themeFill="text2" w:themeFillTint="33"/>
            <w:vAlign w:val="center"/>
            <w:hideMark/>
          </w:tcPr>
          <w:p w14:paraId="6A434761" w14:textId="77777777" w:rsidR="004555AF" w:rsidRPr="00014DDF" w:rsidRDefault="004555AF" w:rsidP="00174734">
            <w:pPr>
              <w:spacing w:after="0"/>
              <w:rPr>
                <w:rFonts w:cs="Arial"/>
                <w:b/>
                <w:bCs/>
                <w:color w:val="000000"/>
                <w:sz w:val="20"/>
                <w:szCs w:val="20"/>
              </w:rPr>
            </w:pPr>
          </w:p>
        </w:tc>
        <w:tc>
          <w:tcPr>
            <w:tcW w:w="1170" w:type="dxa"/>
            <w:vMerge/>
            <w:tcBorders>
              <w:bottom w:val="single" w:sz="4" w:space="0" w:color="auto"/>
            </w:tcBorders>
            <w:shd w:val="clear" w:color="auto" w:fill="C6D9F1" w:themeFill="text2" w:themeFillTint="33"/>
            <w:vAlign w:val="center"/>
            <w:hideMark/>
          </w:tcPr>
          <w:p w14:paraId="32164741" w14:textId="77777777" w:rsidR="004555AF" w:rsidRPr="00014DDF" w:rsidRDefault="004555AF" w:rsidP="00174734">
            <w:pPr>
              <w:spacing w:after="0"/>
              <w:rPr>
                <w:rFonts w:cs="Arial"/>
                <w:b/>
                <w:bCs/>
                <w:color w:val="000000"/>
                <w:sz w:val="20"/>
                <w:szCs w:val="20"/>
              </w:rPr>
            </w:pPr>
          </w:p>
        </w:tc>
      </w:tr>
      <w:tr w:rsidR="00430F06" w:rsidRPr="00014DDF" w14:paraId="065A1933" w14:textId="77777777" w:rsidTr="004C2522">
        <w:trPr>
          <w:trHeight w:val="402"/>
        </w:trPr>
        <w:tc>
          <w:tcPr>
            <w:tcW w:w="9342" w:type="dxa"/>
            <w:gridSpan w:val="7"/>
            <w:tcBorders>
              <w:top w:val="single" w:sz="4" w:space="0" w:color="auto"/>
              <w:bottom w:val="single" w:sz="4" w:space="0" w:color="auto"/>
            </w:tcBorders>
            <w:shd w:val="clear" w:color="auto" w:fill="DBE5F1" w:themeFill="accent1" w:themeFillTint="33"/>
            <w:noWrap/>
            <w:vAlign w:val="center"/>
          </w:tcPr>
          <w:p w14:paraId="44AB9AB0" w14:textId="7CD6D678" w:rsidR="00430F06" w:rsidRPr="00014DDF" w:rsidRDefault="00430F06" w:rsidP="00430F06">
            <w:pPr>
              <w:spacing w:after="0"/>
              <w:rPr>
                <w:rFonts w:cs="Arial"/>
                <w:b/>
                <w:bCs/>
                <w:color w:val="000000"/>
                <w:sz w:val="20"/>
                <w:szCs w:val="20"/>
              </w:rPr>
            </w:pPr>
            <w:r w:rsidRPr="00014DDF">
              <w:rPr>
                <w:rFonts w:cs="Arial"/>
                <w:b/>
                <w:bCs/>
                <w:color w:val="000000"/>
                <w:sz w:val="20"/>
                <w:szCs w:val="20"/>
              </w:rPr>
              <w:t xml:space="preserve">Proposed Buildings </w:t>
            </w:r>
          </w:p>
        </w:tc>
      </w:tr>
      <w:tr w:rsidR="004555AF" w:rsidRPr="00014DDF" w14:paraId="7BAB5A9F" w14:textId="77777777" w:rsidTr="00430F06">
        <w:trPr>
          <w:trHeight w:val="402"/>
        </w:trPr>
        <w:tc>
          <w:tcPr>
            <w:tcW w:w="2525" w:type="dxa"/>
            <w:tcBorders>
              <w:top w:val="single" w:sz="4" w:space="0" w:color="auto"/>
            </w:tcBorders>
            <w:shd w:val="clear" w:color="auto" w:fill="auto"/>
            <w:noWrap/>
            <w:vAlign w:val="center"/>
          </w:tcPr>
          <w:p w14:paraId="7A148216" w14:textId="79A37684" w:rsidR="00632347" w:rsidRPr="00014DDF" w:rsidRDefault="00632347" w:rsidP="00430F06">
            <w:pPr>
              <w:spacing w:after="0"/>
              <w:rPr>
                <w:rFonts w:cs="Arial"/>
                <w:color w:val="000000"/>
                <w:sz w:val="20"/>
                <w:szCs w:val="20"/>
              </w:rPr>
            </w:pPr>
          </w:p>
        </w:tc>
        <w:tc>
          <w:tcPr>
            <w:tcW w:w="972" w:type="dxa"/>
            <w:tcBorders>
              <w:top w:val="single" w:sz="4" w:space="0" w:color="auto"/>
            </w:tcBorders>
            <w:shd w:val="clear" w:color="auto" w:fill="auto"/>
            <w:noWrap/>
            <w:vAlign w:val="center"/>
            <w:hideMark/>
          </w:tcPr>
          <w:p w14:paraId="7FCF84D8" w14:textId="744ABFC4" w:rsidR="00632347" w:rsidRPr="00014DDF" w:rsidRDefault="004C2522" w:rsidP="00174734">
            <w:pPr>
              <w:spacing w:after="0"/>
              <w:jc w:val="center"/>
              <w:rPr>
                <w:rFonts w:cs="Arial"/>
                <w:color w:val="000000"/>
                <w:sz w:val="20"/>
                <w:szCs w:val="20"/>
              </w:rPr>
            </w:pPr>
            <w:r w:rsidRPr="00014DDF">
              <w:rPr>
                <w:rFonts w:cs="Arial"/>
                <w:color w:val="000000"/>
                <w:sz w:val="20"/>
                <w:szCs w:val="20"/>
              </w:rPr>
              <w:t>1br</w:t>
            </w:r>
          </w:p>
        </w:tc>
        <w:tc>
          <w:tcPr>
            <w:tcW w:w="1165" w:type="dxa"/>
            <w:tcBorders>
              <w:top w:val="single" w:sz="4" w:space="0" w:color="auto"/>
            </w:tcBorders>
            <w:shd w:val="clear" w:color="auto" w:fill="auto"/>
            <w:noWrap/>
            <w:vAlign w:val="center"/>
            <w:hideMark/>
          </w:tcPr>
          <w:p w14:paraId="5728403D" w14:textId="383B8CB7" w:rsidR="00632347" w:rsidRPr="00014DDF" w:rsidRDefault="00014DDF" w:rsidP="00174734">
            <w:pPr>
              <w:spacing w:after="0"/>
              <w:jc w:val="center"/>
              <w:rPr>
                <w:rFonts w:cs="Arial"/>
                <w:color w:val="000000"/>
                <w:sz w:val="20"/>
                <w:szCs w:val="20"/>
              </w:rPr>
            </w:pPr>
            <w:r w:rsidRPr="00014DDF">
              <w:rPr>
                <w:rFonts w:cs="Arial"/>
                <w:color w:val="000000"/>
                <w:sz w:val="20"/>
                <w:szCs w:val="20"/>
              </w:rPr>
              <w:t>17</w:t>
            </w:r>
          </w:p>
        </w:tc>
        <w:tc>
          <w:tcPr>
            <w:tcW w:w="1260" w:type="dxa"/>
            <w:tcBorders>
              <w:top w:val="single" w:sz="4" w:space="0" w:color="auto"/>
            </w:tcBorders>
            <w:shd w:val="clear" w:color="auto" w:fill="auto"/>
            <w:noWrap/>
            <w:vAlign w:val="center"/>
            <w:hideMark/>
          </w:tcPr>
          <w:p w14:paraId="3E35420C" w14:textId="77777777" w:rsidR="00632347" w:rsidRPr="00014DDF" w:rsidRDefault="00632347" w:rsidP="00174734">
            <w:pPr>
              <w:spacing w:after="0"/>
              <w:jc w:val="center"/>
              <w:rPr>
                <w:rFonts w:cs="Arial"/>
                <w:color w:val="000000"/>
                <w:sz w:val="20"/>
                <w:szCs w:val="20"/>
              </w:rPr>
            </w:pPr>
            <w:r w:rsidRPr="00014DDF">
              <w:rPr>
                <w:rFonts w:cs="Arial"/>
                <w:color w:val="000000"/>
                <w:sz w:val="20"/>
                <w:szCs w:val="20"/>
              </w:rPr>
              <w:t>1</w:t>
            </w:r>
          </w:p>
        </w:tc>
        <w:tc>
          <w:tcPr>
            <w:tcW w:w="1260" w:type="dxa"/>
            <w:tcBorders>
              <w:top w:val="single" w:sz="4" w:space="0" w:color="auto"/>
            </w:tcBorders>
            <w:shd w:val="clear" w:color="auto" w:fill="auto"/>
            <w:noWrap/>
            <w:vAlign w:val="center"/>
            <w:hideMark/>
          </w:tcPr>
          <w:p w14:paraId="1C3390B1" w14:textId="0691985E" w:rsidR="00632347" w:rsidRPr="00014DDF" w:rsidRDefault="00014DDF" w:rsidP="00174734">
            <w:pPr>
              <w:spacing w:after="0"/>
              <w:jc w:val="center"/>
              <w:rPr>
                <w:rFonts w:cs="Arial"/>
                <w:color w:val="000000"/>
                <w:sz w:val="20"/>
                <w:szCs w:val="20"/>
              </w:rPr>
            </w:pPr>
            <w:r w:rsidRPr="00014DDF">
              <w:rPr>
                <w:rFonts w:cs="Arial"/>
                <w:color w:val="000000"/>
                <w:sz w:val="20"/>
                <w:szCs w:val="20"/>
              </w:rPr>
              <w:t>17</w:t>
            </w:r>
          </w:p>
        </w:tc>
        <w:tc>
          <w:tcPr>
            <w:tcW w:w="990" w:type="dxa"/>
            <w:tcBorders>
              <w:top w:val="single" w:sz="4" w:space="0" w:color="auto"/>
            </w:tcBorders>
            <w:shd w:val="clear" w:color="auto" w:fill="auto"/>
            <w:noWrap/>
            <w:vAlign w:val="center"/>
            <w:hideMark/>
          </w:tcPr>
          <w:p w14:paraId="014290F9" w14:textId="77777777" w:rsidR="00632347" w:rsidRPr="00014DDF" w:rsidRDefault="00632347" w:rsidP="00174734">
            <w:pPr>
              <w:spacing w:after="0"/>
              <w:jc w:val="center"/>
              <w:rPr>
                <w:rFonts w:cs="Arial"/>
                <w:color w:val="000000"/>
                <w:sz w:val="20"/>
                <w:szCs w:val="20"/>
              </w:rPr>
            </w:pPr>
            <w:r w:rsidRPr="00014DDF">
              <w:rPr>
                <w:rFonts w:cs="Arial"/>
                <w:color w:val="000000"/>
                <w:sz w:val="20"/>
                <w:szCs w:val="20"/>
              </w:rPr>
              <w:t>110</w:t>
            </w:r>
          </w:p>
        </w:tc>
        <w:tc>
          <w:tcPr>
            <w:tcW w:w="1170" w:type="dxa"/>
            <w:tcBorders>
              <w:top w:val="single" w:sz="4" w:space="0" w:color="auto"/>
            </w:tcBorders>
            <w:shd w:val="clear" w:color="auto" w:fill="auto"/>
            <w:noWrap/>
            <w:vAlign w:val="center"/>
            <w:hideMark/>
          </w:tcPr>
          <w:p w14:paraId="71C05C8C" w14:textId="653F2076" w:rsidR="00632347" w:rsidRPr="00014DDF" w:rsidRDefault="00014DDF" w:rsidP="00174734">
            <w:pPr>
              <w:spacing w:after="0"/>
              <w:jc w:val="center"/>
              <w:rPr>
                <w:rFonts w:cs="Arial"/>
                <w:color w:val="000000"/>
                <w:sz w:val="20"/>
                <w:szCs w:val="20"/>
              </w:rPr>
            </w:pPr>
            <w:r w:rsidRPr="00014DDF">
              <w:rPr>
                <w:rFonts w:cs="Arial"/>
                <w:color w:val="000000"/>
                <w:sz w:val="20"/>
                <w:szCs w:val="20"/>
              </w:rPr>
              <w:t>1,870</w:t>
            </w:r>
          </w:p>
        </w:tc>
      </w:tr>
      <w:tr w:rsidR="004555AF" w:rsidRPr="00014DDF" w14:paraId="08B06999" w14:textId="77777777" w:rsidTr="00430F06">
        <w:trPr>
          <w:trHeight w:val="402"/>
        </w:trPr>
        <w:tc>
          <w:tcPr>
            <w:tcW w:w="2525" w:type="dxa"/>
            <w:shd w:val="clear" w:color="auto" w:fill="auto"/>
            <w:noWrap/>
            <w:vAlign w:val="center"/>
          </w:tcPr>
          <w:p w14:paraId="77C08390" w14:textId="0F06A81B" w:rsidR="00632347" w:rsidRPr="00014DDF" w:rsidRDefault="00632347" w:rsidP="00430F06">
            <w:pPr>
              <w:spacing w:after="0"/>
              <w:rPr>
                <w:rFonts w:cs="Arial"/>
                <w:color w:val="000000"/>
                <w:sz w:val="20"/>
                <w:szCs w:val="20"/>
              </w:rPr>
            </w:pPr>
          </w:p>
        </w:tc>
        <w:tc>
          <w:tcPr>
            <w:tcW w:w="972" w:type="dxa"/>
            <w:shd w:val="clear" w:color="auto" w:fill="auto"/>
            <w:noWrap/>
            <w:vAlign w:val="center"/>
            <w:hideMark/>
          </w:tcPr>
          <w:p w14:paraId="2F842A9E" w14:textId="5FA0DC42" w:rsidR="00632347" w:rsidRPr="00014DDF" w:rsidRDefault="004C2522" w:rsidP="00174734">
            <w:pPr>
              <w:spacing w:after="0"/>
              <w:jc w:val="center"/>
              <w:rPr>
                <w:rFonts w:cs="Arial"/>
                <w:color w:val="000000"/>
                <w:sz w:val="20"/>
                <w:szCs w:val="20"/>
              </w:rPr>
            </w:pPr>
            <w:r w:rsidRPr="00014DDF">
              <w:rPr>
                <w:rFonts w:cs="Arial"/>
                <w:color w:val="000000"/>
                <w:sz w:val="20"/>
                <w:szCs w:val="20"/>
              </w:rPr>
              <w:t>2br</w:t>
            </w:r>
          </w:p>
        </w:tc>
        <w:tc>
          <w:tcPr>
            <w:tcW w:w="1165" w:type="dxa"/>
            <w:shd w:val="clear" w:color="auto" w:fill="auto"/>
            <w:noWrap/>
            <w:vAlign w:val="center"/>
            <w:hideMark/>
          </w:tcPr>
          <w:p w14:paraId="7C63BA40" w14:textId="5893D266" w:rsidR="00632347" w:rsidRPr="00014DDF" w:rsidRDefault="00014DDF" w:rsidP="00174734">
            <w:pPr>
              <w:spacing w:after="0"/>
              <w:jc w:val="center"/>
              <w:rPr>
                <w:rFonts w:cs="Arial"/>
                <w:color w:val="000000"/>
                <w:sz w:val="20"/>
                <w:szCs w:val="20"/>
              </w:rPr>
            </w:pPr>
            <w:r w:rsidRPr="00014DDF">
              <w:rPr>
                <w:rFonts w:cs="Arial"/>
                <w:color w:val="000000"/>
                <w:sz w:val="20"/>
                <w:szCs w:val="20"/>
              </w:rPr>
              <w:t>29</w:t>
            </w:r>
          </w:p>
        </w:tc>
        <w:tc>
          <w:tcPr>
            <w:tcW w:w="1260" w:type="dxa"/>
            <w:shd w:val="clear" w:color="auto" w:fill="auto"/>
            <w:noWrap/>
            <w:vAlign w:val="center"/>
            <w:hideMark/>
          </w:tcPr>
          <w:p w14:paraId="18ED14B3" w14:textId="3C352984" w:rsidR="00632347" w:rsidRPr="00014DDF" w:rsidRDefault="00014DDF" w:rsidP="00174734">
            <w:pPr>
              <w:spacing w:after="0"/>
              <w:jc w:val="center"/>
              <w:rPr>
                <w:rFonts w:cs="Arial"/>
                <w:color w:val="000000"/>
                <w:sz w:val="20"/>
                <w:szCs w:val="20"/>
              </w:rPr>
            </w:pPr>
            <w:r w:rsidRPr="00014DDF">
              <w:rPr>
                <w:rFonts w:cs="Arial"/>
                <w:color w:val="000000"/>
                <w:sz w:val="20"/>
                <w:szCs w:val="20"/>
              </w:rPr>
              <w:t>2</w:t>
            </w:r>
          </w:p>
        </w:tc>
        <w:tc>
          <w:tcPr>
            <w:tcW w:w="1260" w:type="dxa"/>
            <w:shd w:val="clear" w:color="auto" w:fill="auto"/>
            <w:noWrap/>
            <w:vAlign w:val="center"/>
            <w:hideMark/>
          </w:tcPr>
          <w:p w14:paraId="5A3FDCC9" w14:textId="35301666" w:rsidR="00632347" w:rsidRPr="00014DDF" w:rsidRDefault="00014DDF" w:rsidP="00174734">
            <w:pPr>
              <w:spacing w:after="0"/>
              <w:jc w:val="center"/>
              <w:rPr>
                <w:rFonts w:cs="Arial"/>
                <w:color w:val="000000"/>
                <w:sz w:val="20"/>
                <w:szCs w:val="20"/>
              </w:rPr>
            </w:pPr>
            <w:r w:rsidRPr="00014DDF">
              <w:rPr>
                <w:rFonts w:cs="Arial"/>
                <w:color w:val="000000"/>
                <w:sz w:val="20"/>
                <w:szCs w:val="20"/>
              </w:rPr>
              <w:t>58</w:t>
            </w:r>
          </w:p>
        </w:tc>
        <w:tc>
          <w:tcPr>
            <w:tcW w:w="990" w:type="dxa"/>
            <w:shd w:val="clear" w:color="auto" w:fill="auto"/>
            <w:noWrap/>
            <w:vAlign w:val="center"/>
            <w:hideMark/>
          </w:tcPr>
          <w:p w14:paraId="5F05E8FA" w14:textId="4D056E2B" w:rsidR="00632347" w:rsidRPr="00014DDF" w:rsidRDefault="00632347" w:rsidP="00174734">
            <w:pPr>
              <w:spacing w:after="0"/>
              <w:jc w:val="center"/>
              <w:rPr>
                <w:rFonts w:cs="Arial"/>
                <w:color w:val="000000"/>
                <w:sz w:val="20"/>
                <w:szCs w:val="20"/>
              </w:rPr>
            </w:pPr>
            <w:r w:rsidRPr="00014DDF">
              <w:rPr>
                <w:rFonts w:cs="Arial"/>
                <w:color w:val="000000"/>
                <w:sz w:val="20"/>
                <w:szCs w:val="20"/>
              </w:rPr>
              <w:t>1</w:t>
            </w:r>
            <w:r w:rsidR="00014DDF" w:rsidRPr="00014DDF">
              <w:rPr>
                <w:rFonts w:cs="Arial"/>
                <w:color w:val="000000"/>
                <w:sz w:val="20"/>
                <w:szCs w:val="20"/>
              </w:rPr>
              <w:t>10</w:t>
            </w:r>
          </w:p>
        </w:tc>
        <w:tc>
          <w:tcPr>
            <w:tcW w:w="1170" w:type="dxa"/>
            <w:shd w:val="clear" w:color="auto" w:fill="auto"/>
            <w:noWrap/>
            <w:vAlign w:val="center"/>
            <w:hideMark/>
          </w:tcPr>
          <w:p w14:paraId="00C7B67C" w14:textId="593AA2EB" w:rsidR="00632347" w:rsidRPr="00014DDF" w:rsidRDefault="00014DDF" w:rsidP="00174734">
            <w:pPr>
              <w:spacing w:after="0"/>
              <w:jc w:val="center"/>
              <w:rPr>
                <w:rFonts w:cs="Arial"/>
                <w:color w:val="000000"/>
                <w:sz w:val="20"/>
                <w:szCs w:val="20"/>
              </w:rPr>
            </w:pPr>
            <w:r w:rsidRPr="00014DDF">
              <w:rPr>
                <w:rFonts w:cs="Arial"/>
                <w:color w:val="000000"/>
                <w:sz w:val="20"/>
                <w:szCs w:val="20"/>
              </w:rPr>
              <w:t>6,380</w:t>
            </w:r>
          </w:p>
        </w:tc>
      </w:tr>
      <w:tr w:rsidR="004555AF" w:rsidRPr="00014DDF" w14:paraId="72177591" w14:textId="77777777" w:rsidTr="004C2522">
        <w:trPr>
          <w:trHeight w:val="402"/>
        </w:trPr>
        <w:tc>
          <w:tcPr>
            <w:tcW w:w="2525" w:type="dxa"/>
            <w:tcBorders>
              <w:bottom w:val="single" w:sz="4" w:space="0" w:color="auto"/>
            </w:tcBorders>
            <w:shd w:val="clear" w:color="auto" w:fill="auto"/>
            <w:noWrap/>
            <w:vAlign w:val="center"/>
          </w:tcPr>
          <w:p w14:paraId="72CFCF0C" w14:textId="0D6BDAEB" w:rsidR="00632347" w:rsidRPr="00014DDF" w:rsidRDefault="00632347" w:rsidP="00430F06">
            <w:pPr>
              <w:spacing w:after="0"/>
              <w:rPr>
                <w:rFonts w:cs="Arial"/>
                <w:color w:val="000000"/>
                <w:sz w:val="20"/>
                <w:szCs w:val="20"/>
              </w:rPr>
            </w:pPr>
          </w:p>
        </w:tc>
        <w:tc>
          <w:tcPr>
            <w:tcW w:w="972" w:type="dxa"/>
            <w:tcBorders>
              <w:bottom w:val="single" w:sz="4" w:space="0" w:color="auto"/>
            </w:tcBorders>
            <w:shd w:val="clear" w:color="auto" w:fill="auto"/>
            <w:noWrap/>
            <w:vAlign w:val="center"/>
            <w:hideMark/>
          </w:tcPr>
          <w:p w14:paraId="2946FB1B" w14:textId="412E17C2" w:rsidR="00632347" w:rsidRPr="00014DDF" w:rsidRDefault="004C2522" w:rsidP="00174734">
            <w:pPr>
              <w:spacing w:after="0"/>
              <w:jc w:val="center"/>
              <w:rPr>
                <w:rFonts w:cs="Arial"/>
                <w:color w:val="000000"/>
                <w:sz w:val="20"/>
                <w:szCs w:val="20"/>
              </w:rPr>
            </w:pPr>
            <w:r w:rsidRPr="00014DDF">
              <w:rPr>
                <w:rFonts w:cs="Arial"/>
                <w:color w:val="000000"/>
                <w:sz w:val="20"/>
                <w:szCs w:val="20"/>
              </w:rPr>
              <w:t>3br</w:t>
            </w:r>
          </w:p>
        </w:tc>
        <w:tc>
          <w:tcPr>
            <w:tcW w:w="1165" w:type="dxa"/>
            <w:tcBorders>
              <w:bottom w:val="single" w:sz="4" w:space="0" w:color="auto"/>
            </w:tcBorders>
            <w:shd w:val="clear" w:color="auto" w:fill="auto"/>
            <w:noWrap/>
            <w:vAlign w:val="center"/>
            <w:hideMark/>
          </w:tcPr>
          <w:p w14:paraId="231C00B8" w14:textId="5AFC5247" w:rsidR="00632347" w:rsidRPr="00014DDF" w:rsidRDefault="00014DDF" w:rsidP="00174734">
            <w:pPr>
              <w:spacing w:after="0"/>
              <w:jc w:val="center"/>
              <w:rPr>
                <w:rFonts w:cs="Arial"/>
                <w:color w:val="000000"/>
                <w:sz w:val="20"/>
                <w:szCs w:val="20"/>
              </w:rPr>
            </w:pPr>
            <w:r w:rsidRPr="00014DDF">
              <w:rPr>
                <w:rFonts w:cs="Arial"/>
                <w:color w:val="000000"/>
                <w:sz w:val="20"/>
                <w:szCs w:val="20"/>
              </w:rPr>
              <w:t>5</w:t>
            </w:r>
          </w:p>
        </w:tc>
        <w:tc>
          <w:tcPr>
            <w:tcW w:w="1260" w:type="dxa"/>
            <w:tcBorders>
              <w:bottom w:val="single" w:sz="4" w:space="0" w:color="auto"/>
            </w:tcBorders>
            <w:shd w:val="clear" w:color="auto" w:fill="auto"/>
            <w:noWrap/>
            <w:vAlign w:val="center"/>
            <w:hideMark/>
          </w:tcPr>
          <w:p w14:paraId="04545862" w14:textId="77777777" w:rsidR="00632347" w:rsidRPr="00014DDF" w:rsidRDefault="00632347" w:rsidP="00174734">
            <w:pPr>
              <w:spacing w:after="0"/>
              <w:jc w:val="center"/>
              <w:rPr>
                <w:rFonts w:cs="Arial"/>
                <w:color w:val="000000"/>
                <w:sz w:val="20"/>
                <w:szCs w:val="20"/>
              </w:rPr>
            </w:pPr>
            <w:r w:rsidRPr="00014DDF">
              <w:rPr>
                <w:rFonts w:cs="Arial"/>
                <w:color w:val="000000"/>
                <w:sz w:val="20"/>
                <w:szCs w:val="20"/>
              </w:rPr>
              <w:t>3</w:t>
            </w:r>
          </w:p>
        </w:tc>
        <w:tc>
          <w:tcPr>
            <w:tcW w:w="1260" w:type="dxa"/>
            <w:tcBorders>
              <w:bottom w:val="single" w:sz="4" w:space="0" w:color="auto"/>
            </w:tcBorders>
            <w:shd w:val="clear" w:color="auto" w:fill="auto"/>
            <w:noWrap/>
            <w:vAlign w:val="center"/>
            <w:hideMark/>
          </w:tcPr>
          <w:p w14:paraId="32CF4A4B" w14:textId="5BC47FA0" w:rsidR="00632347" w:rsidRPr="00014DDF" w:rsidRDefault="00014DDF" w:rsidP="00174734">
            <w:pPr>
              <w:spacing w:after="0"/>
              <w:jc w:val="center"/>
              <w:rPr>
                <w:rFonts w:cs="Arial"/>
                <w:color w:val="000000"/>
                <w:sz w:val="20"/>
                <w:szCs w:val="20"/>
              </w:rPr>
            </w:pPr>
            <w:r w:rsidRPr="00014DDF">
              <w:rPr>
                <w:rFonts w:cs="Arial"/>
                <w:color w:val="000000"/>
                <w:sz w:val="20"/>
                <w:szCs w:val="20"/>
              </w:rPr>
              <w:t>15</w:t>
            </w:r>
          </w:p>
        </w:tc>
        <w:tc>
          <w:tcPr>
            <w:tcW w:w="990" w:type="dxa"/>
            <w:tcBorders>
              <w:bottom w:val="single" w:sz="4" w:space="0" w:color="auto"/>
            </w:tcBorders>
            <w:shd w:val="clear" w:color="auto" w:fill="auto"/>
            <w:noWrap/>
            <w:vAlign w:val="center"/>
            <w:hideMark/>
          </w:tcPr>
          <w:p w14:paraId="5561FCE8" w14:textId="77777777" w:rsidR="00632347" w:rsidRPr="00014DDF" w:rsidRDefault="00632347" w:rsidP="00174734">
            <w:pPr>
              <w:spacing w:after="0"/>
              <w:jc w:val="center"/>
              <w:rPr>
                <w:rFonts w:cs="Arial"/>
                <w:color w:val="000000"/>
                <w:sz w:val="20"/>
                <w:szCs w:val="20"/>
              </w:rPr>
            </w:pPr>
            <w:r w:rsidRPr="00014DDF">
              <w:rPr>
                <w:rFonts w:cs="Arial"/>
                <w:color w:val="000000"/>
                <w:sz w:val="20"/>
                <w:szCs w:val="20"/>
              </w:rPr>
              <w:t>110</w:t>
            </w:r>
          </w:p>
        </w:tc>
        <w:tc>
          <w:tcPr>
            <w:tcW w:w="1170" w:type="dxa"/>
            <w:tcBorders>
              <w:bottom w:val="single" w:sz="4" w:space="0" w:color="auto"/>
            </w:tcBorders>
            <w:shd w:val="clear" w:color="auto" w:fill="auto"/>
            <w:noWrap/>
            <w:vAlign w:val="center"/>
            <w:hideMark/>
          </w:tcPr>
          <w:p w14:paraId="2B302C12" w14:textId="3680E3A7" w:rsidR="00632347" w:rsidRPr="00014DDF" w:rsidRDefault="00014DDF" w:rsidP="00174734">
            <w:pPr>
              <w:spacing w:after="0"/>
              <w:jc w:val="center"/>
              <w:rPr>
                <w:rFonts w:cs="Arial"/>
                <w:color w:val="000000"/>
                <w:sz w:val="20"/>
                <w:szCs w:val="20"/>
              </w:rPr>
            </w:pPr>
            <w:r w:rsidRPr="00014DDF">
              <w:rPr>
                <w:rFonts w:cs="Arial"/>
                <w:color w:val="000000"/>
                <w:sz w:val="20"/>
                <w:szCs w:val="20"/>
              </w:rPr>
              <w:t>1,650</w:t>
            </w:r>
          </w:p>
        </w:tc>
      </w:tr>
      <w:tr w:rsidR="00430F06" w:rsidRPr="00014DDF" w14:paraId="7C3614B0" w14:textId="77777777" w:rsidTr="004C2522">
        <w:trPr>
          <w:trHeight w:val="402"/>
        </w:trPr>
        <w:tc>
          <w:tcPr>
            <w:tcW w:w="2525" w:type="dxa"/>
            <w:tcBorders>
              <w:top w:val="single" w:sz="4" w:space="0" w:color="auto"/>
              <w:bottom w:val="single" w:sz="4" w:space="0" w:color="auto"/>
            </w:tcBorders>
            <w:shd w:val="clear" w:color="auto" w:fill="auto"/>
            <w:noWrap/>
            <w:vAlign w:val="center"/>
          </w:tcPr>
          <w:p w14:paraId="06B8C6CE" w14:textId="18C856E0" w:rsidR="00430F06" w:rsidRPr="00014DDF" w:rsidRDefault="00430F06" w:rsidP="00430F06">
            <w:pPr>
              <w:spacing w:after="0"/>
              <w:rPr>
                <w:rFonts w:cs="Arial"/>
                <w:color w:val="000000"/>
                <w:sz w:val="20"/>
                <w:szCs w:val="20"/>
              </w:rPr>
            </w:pPr>
            <w:r w:rsidRPr="00014DDF">
              <w:rPr>
                <w:rFonts w:cs="Arial"/>
                <w:b/>
                <w:bCs/>
                <w:color w:val="000000"/>
                <w:sz w:val="20"/>
                <w:szCs w:val="20"/>
              </w:rPr>
              <w:t>Total number of units:</w:t>
            </w:r>
          </w:p>
        </w:tc>
        <w:tc>
          <w:tcPr>
            <w:tcW w:w="972" w:type="dxa"/>
            <w:tcBorders>
              <w:top w:val="single" w:sz="4" w:space="0" w:color="auto"/>
              <w:bottom w:val="single" w:sz="4" w:space="0" w:color="auto"/>
            </w:tcBorders>
            <w:shd w:val="clear" w:color="auto" w:fill="auto"/>
            <w:noWrap/>
            <w:vAlign w:val="center"/>
          </w:tcPr>
          <w:p w14:paraId="79AF828E" w14:textId="6D59FE92" w:rsidR="00430F06" w:rsidRPr="00014DDF" w:rsidRDefault="00430F06" w:rsidP="00174734">
            <w:pPr>
              <w:spacing w:after="0"/>
              <w:jc w:val="center"/>
              <w:rPr>
                <w:rFonts w:cs="Arial"/>
                <w:b/>
                <w:bCs/>
                <w:color w:val="000000"/>
                <w:sz w:val="20"/>
                <w:szCs w:val="20"/>
              </w:rPr>
            </w:pPr>
          </w:p>
        </w:tc>
        <w:tc>
          <w:tcPr>
            <w:tcW w:w="1165" w:type="dxa"/>
            <w:tcBorders>
              <w:top w:val="single" w:sz="4" w:space="0" w:color="auto"/>
              <w:bottom w:val="single" w:sz="4" w:space="0" w:color="auto"/>
            </w:tcBorders>
            <w:shd w:val="clear" w:color="auto" w:fill="auto"/>
            <w:noWrap/>
            <w:vAlign w:val="center"/>
          </w:tcPr>
          <w:p w14:paraId="5D308ADA" w14:textId="3F939372" w:rsidR="00430F06" w:rsidRPr="00014DDF" w:rsidRDefault="00014DDF" w:rsidP="00174734">
            <w:pPr>
              <w:spacing w:after="0"/>
              <w:jc w:val="center"/>
              <w:rPr>
                <w:rFonts w:cs="Arial"/>
                <w:b/>
                <w:bCs/>
                <w:color w:val="000000"/>
                <w:sz w:val="20"/>
                <w:szCs w:val="20"/>
              </w:rPr>
            </w:pPr>
            <w:r w:rsidRPr="00014DDF">
              <w:rPr>
                <w:rFonts w:cs="Arial"/>
                <w:b/>
                <w:bCs/>
                <w:color w:val="000000"/>
                <w:sz w:val="20"/>
                <w:szCs w:val="20"/>
              </w:rPr>
              <w:t>51</w:t>
            </w:r>
          </w:p>
        </w:tc>
        <w:tc>
          <w:tcPr>
            <w:tcW w:w="1260" w:type="dxa"/>
            <w:tcBorders>
              <w:top w:val="single" w:sz="4" w:space="0" w:color="auto"/>
              <w:bottom w:val="single" w:sz="4" w:space="0" w:color="auto"/>
            </w:tcBorders>
            <w:shd w:val="clear" w:color="auto" w:fill="auto"/>
            <w:noWrap/>
            <w:vAlign w:val="center"/>
          </w:tcPr>
          <w:p w14:paraId="2A4BC468" w14:textId="77777777" w:rsidR="00430F06" w:rsidRPr="00014DDF" w:rsidRDefault="00430F06" w:rsidP="00174734">
            <w:pPr>
              <w:spacing w:after="0"/>
              <w:jc w:val="center"/>
              <w:rPr>
                <w:rFonts w:cs="Arial"/>
                <w:color w:val="000000"/>
                <w:sz w:val="20"/>
                <w:szCs w:val="20"/>
              </w:rPr>
            </w:pPr>
          </w:p>
        </w:tc>
        <w:tc>
          <w:tcPr>
            <w:tcW w:w="1260" w:type="dxa"/>
            <w:tcBorders>
              <w:top w:val="single" w:sz="4" w:space="0" w:color="auto"/>
              <w:bottom w:val="single" w:sz="4" w:space="0" w:color="auto"/>
            </w:tcBorders>
            <w:shd w:val="clear" w:color="auto" w:fill="auto"/>
            <w:noWrap/>
            <w:vAlign w:val="center"/>
          </w:tcPr>
          <w:p w14:paraId="37BAA33F" w14:textId="77777777" w:rsidR="00430F06" w:rsidRPr="00014DDF" w:rsidRDefault="00430F06" w:rsidP="00174734">
            <w:pPr>
              <w:spacing w:after="0"/>
              <w:jc w:val="center"/>
              <w:rPr>
                <w:rFonts w:cs="Arial"/>
                <w:color w:val="000000"/>
                <w:sz w:val="20"/>
                <w:szCs w:val="20"/>
              </w:rPr>
            </w:pPr>
          </w:p>
        </w:tc>
        <w:tc>
          <w:tcPr>
            <w:tcW w:w="990" w:type="dxa"/>
            <w:tcBorders>
              <w:top w:val="single" w:sz="4" w:space="0" w:color="auto"/>
              <w:bottom w:val="single" w:sz="4" w:space="0" w:color="auto"/>
            </w:tcBorders>
            <w:shd w:val="clear" w:color="auto" w:fill="auto"/>
            <w:noWrap/>
            <w:vAlign w:val="center"/>
          </w:tcPr>
          <w:p w14:paraId="0E157D15" w14:textId="77777777" w:rsidR="00430F06" w:rsidRPr="00014DDF" w:rsidRDefault="00430F06" w:rsidP="00174734">
            <w:pPr>
              <w:spacing w:after="0"/>
              <w:jc w:val="center"/>
              <w:rPr>
                <w:rFonts w:cs="Arial"/>
                <w:color w:val="000000"/>
                <w:sz w:val="20"/>
                <w:szCs w:val="20"/>
              </w:rPr>
            </w:pPr>
          </w:p>
        </w:tc>
        <w:tc>
          <w:tcPr>
            <w:tcW w:w="1170" w:type="dxa"/>
            <w:tcBorders>
              <w:top w:val="single" w:sz="4" w:space="0" w:color="auto"/>
              <w:bottom w:val="single" w:sz="4" w:space="0" w:color="auto"/>
            </w:tcBorders>
            <w:shd w:val="clear" w:color="auto" w:fill="auto"/>
            <w:noWrap/>
            <w:vAlign w:val="center"/>
          </w:tcPr>
          <w:p w14:paraId="696C5642" w14:textId="34530763" w:rsidR="00430F06" w:rsidRPr="00014DDF" w:rsidRDefault="00430F06" w:rsidP="00174734">
            <w:pPr>
              <w:spacing w:after="0"/>
              <w:jc w:val="center"/>
              <w:rPr>
                <w:rFonts w:cs="Arial"/>
                <w:b/>
                <w:bCs/>
                <w:color w:val="000000"/>
                <w:sz w:val="20"/>
                <w:szCs w:val="20"/>
              </w:rPr>
            </w:pPr>
          </w:p>
        </w:tc>
      </w:tr>
      <w:tr w:rsidR="004555AF" w:rsidRPr="00014DDF" w14:paraId="697EFC21" w14:textId="77777777" w:rsidTr="00430F06">
        <w:trPr>
          <w:trHeight w:val="402"/>
        </w:trPr>
        <w:tc>
          <w:tcPr>
            <w:tcW w:w="8172" w:type="dxa"/>
            <w:gridSpan w:val="6"/>
            <w:tcBorders>
              <w:top w:val="single" w:sz="4" w:space="0" w:color="auto"/>
            </w:tcBorders>
            <w:shd w:val="clear" w:color="auto" w:fill="auto"/>
            <w:noWrap/>
            <w:vAlign w:val="center"/>
          </w:tcPr>
          <w:p w14:paraId="08E26A80" w14:textId="59EE19D9" w:rsidR="004555AF" w:rsidRPr="00014DDF" w:rsidRDefault="004555AF" w:rsidP="00174734">
            <w:pPr>
              <w:spacing w:after="0"/>
              <w:jc w:val="right"/>
              <w:rPr>
                <w:rFonts w:cs="Arial"/>
                <w:color w:val="000000"/>
                <w:sz w:val="20"/>
                <w:szCs w:val="20"/>
              </w:rPr>
            </w:pPr>
            <w:r w:rsidRPr="00014DDF">
              <w:rPr>
                <w:rFonts w:cs="Arial"/>
                <w:b/>
                <w:bCs/>
                <w:color w:val="000000"/>
                <w:sz w:val="20"/>
                <w:szCs w:val="20"/>
              </w:rPr>
              <w:t>Total Daily Design Flow (Gallons per day)</w:t>
            </w:r>
          </w:p>
        </w:tc>
        <w:tc>
          <w:tcPr>
            <w:tcW w:w="1170" w:type="dxa"/>
            <w:tcBorders>
              <w:top w:val="single" w:sz="4" w:space="0" w:color="auto"/>
              <w:left w:val="nil"/>
            </w:tcBorders>
            <w:shd w:val="clear" w:color="auto" w:fill="auto"/>
            <w:noWrap/>
            <w:vAlign w:val="center"/>
          </w:tcPr>
          <w:p w14:paraId="711C65EC" w14:textId="2270DA22" w:rsidR="004555AF" w:rsidRPr="00014DDF" w:rsidRDefault="00014DDF" w:rsidP="00174734">
            <w:pPr>
              <w:spacing w:after="0"/>
              <w:jc w:val="center"/>
              <w:rPr>
                <w:rFonts w:cs="Arial"/>
                <w:color w:val="000000"/>
                <w:sz w:val="20"/>
                <w:szCs w:val="20"/>
              </w:rPr>
            </w:pPr>
            <w:r w:rsidRPr="00014DDF">
              <w:rPr>
                <w:rFonts w:cs="Arial"/>
                <w:color w:val="000000"/>
                <w:sz w:val="20"/>
                <w:szCs w:val="20"/>
              </w:rPr>
              <w:t>9,900</w:t>
            </w:r>
          </w:p>
        </w:tc>
      </w:tr>
    </w:tbl>
    <w:p w14:paraId="71C0E8CD" w14:textId="5A01A22C" w:rsidR="00632347" w:rsidRPr="00014DDF" w:rsidRDefault="00632347" w:rsidP="00174734">
      <w:pPr>
        <w:spacing w:before="120"/>
        <w:rPr>
          <w:i/>
          <w:iCs/>
          <w:sz w:val="18"/>
          <w:szCs w:val="18"/>
        </w:rPr>
      </w:pPr>
      <w:r w:rsidRPr="00014DDF">
        <w:rPr>
          <w:rFonts w:cs="Arial"/>
          <w:i/>
          <w:iCs/>
          <w:color w:val="000000"/>
          <w:sz w:val="18"/>
          <w:szCs w:val="18"/>
        </w:rPr>
        <w:t>Note: Design flows taken from 310 CMR 15.203 System Sewage Flow Design Criteria (Title V).</w:t>
      </w:r>
    </w:p>
    <w:p w14:paraId="6A532D94" w14:textId="77777777" w:rsidR="00886A7F" w:rsidRDefault="00886A7F" w:rsidP="000E3D40">
      <w:pPr>
        <w:spacing w:after="0"/>
      </w:pPr>
      <w:r w:rsidRPr="00886A7F">
        <w:t xml:space="preserve">The wastewater system is comprised of a 30,000 gallon H-20 two compartment septic tank to accommodate 300% of the design flow, a 14,000 gallon pump chamber sized for 100% emergency capacity, a distribution box, and a gravity fed Enviro-Septic alternative subsurface </w:t>
      </w:r>
      <w:r w:rsidRPr="00886A7F">
        <w:lastRenderedPageBreak/>
        <w:t>Soil Absorption System (SAS). Duplex alternating pumps will feed the main distribution box which distributes effluent evenly to the two Enviro-Septic effluent disposal beds.</w:t>
      </w:r>
    </w:p>
    <w:p w14:paraId="224936A5" w14:textId="77777777" w:rsidR="00886A7F" w:rsidRDefault="00886A7F" w:rsidP="00886A7F">
      <w:pPr>
        <w:spacing w:after="0" w:line="240" w:lineRule="auto"/>
      </w:pPr>
    </w:p>
    <w:p w14:paraId="7A151893" w14:textId="6DC21588" w:rsidR="000163C2" w:rsidRDefault="00CF7D13" w:rsidP="00886A7F">
      <w:pPr>
        <w:spacing w:after="0" w:line="240" w:lineRule="auto"/>
      </w:pPr>
      <w:r>
        <w:t xml:space="preserve">The design plans, details and calculations have been submitted to the Bourne Board of Health. </w:t>
      </w:r>
    </w:p>
    <w:p w14:paraId="49C0E815" w14:textId="77777777" w:rsidR="00886A7F" w:rsidRDefault="00886A7F" w:rsidP="00886A7F">
      <w:pPr>
        <w:spacing w:after="0" w:line="240" w:lineRule="auto"/>
      </w:pPr>
    </w:p>
    <w:p w14:paraId="2F4E4D35" w14:textId="1E5DDFC1" w:rsidR="007A75D2" w:rsidRDefault="007A75D2" w:rsidP="00174734">
      <w:pPr>
        <w:pStyle w:val="Heading2"/>
      </w:pPr>
      <w:bookmarkStart w:id="17" w:name="_Toc71740827"/>
      <w:r>
        <w:t>Description of natural area protection and enhancement</w:t>
      </w:r>
      <w:bookmarkEnd w:id="17"/>
    </w:p>
    <w:p w14:paraId="74F627A8" w14:textId="4B68BA2F" w:rsidR="00C60633" w:rsidRDefault="00C60633" w:rsidP="00C60633">
      <w:pPr>
        <w:rPr>
          <w:rFonts w:cs="Arial"/>
          <w:szCs w:val="22"/>
        </w:rPr>
      </w:pPr>
      <w:r>
        <w:t xml:space="preserve">A small portion of the project area is located within both the 50’ and 100’ wetland buffers.  The proposed building and all site </w:t>
      </w:r>
      <w:r w:rsidR="00A1014B">
        <w:t>amenities</w:t>
      </w:r>
      <w:r>
        <w:t xml:space="preserve"> are located outside of the 50’ buffer, with minor grading </w:t>
      </w:r>
      <w:r w:rsidR="00A1014B">
        <w:t>occurring</w:t>
      </w:r>
      <w:r>
        <w:t xml:space="preserve"> in within the 50’ buffer. The proposed landscape plan includes the restoration of all disturbance within the 50’ buffer, including the removal of invasive species and native buffer plantings.  </w:t>
      </w:r>
    </w:p>
    <w:p w14:paraId="5EAB3C1A" w14:textId="7C10FE3F" w:rsidR="0093190E" w:rsidRDefault="0093190E" w:rsidP="00C60633">
      <w:pPr>
        <w:rPr>
          <w:rFonts w:cs="Arial"/>
          <w:szCs w:val="22"/>
        </w:rPr>
      </w:pPr>
      <w:r w:rsidRPr="000245DE">
        <w:rPr>
          <w:rFonts w:cs="Arial"/>
          <w:szCs w:val="22"/>
        </w:rPr>
        <w:t xml:space="preserve">A sediment and erosion control barrier consisting of </w:t>
      </w:r>
      <w:r w:rsidR="000162DE">
        <w:rPr>
          <w:rFonts w:cs="Arial"/>
          <w:szCs w:val="22"/>
        </w:rPr>
        <w:t xml:space="preserve">a silt </w:t>
      </w:r>
      <w:r w:rsidR="00A1014B">
        <w:rPr>
          <w:rFonts w:cs="Arial"/>
          <w:szCs w:val="22"/>
        </w:rPr>
        <w:t>sock will</w:t>
      </w:r>
      <w:r w:rsidRPr="000245DE">
        <w:rPr>
          <w:rFonts w:cs="Arial"/>
          <w:szCs w:val="22"/>
        </w:rPr>
        <w:t xml:space="preserve"> be placed at the limit of work as shown in the project plans.</w:t>
      </w:r>
      <w:r>
        <w:rPr>
          <w:rFonts w:cs="Arial"/>
          <w:szCs w:val="22"/>
        </w:rPr>
        <w:t xml:space="preserve"> </w:t>
      </w:r>
      <w:r w:rsidRPr="000245DE">
        <w:rPr>
          <w:rFonts w:cs="Arial"/>
          <w:szCs w:val="22"/>
        </w:rPr>
        <w:t>Erosion control barriers will remain in place and will be maintained in good condition until all work is complete and all soils have been stabilized.</w:t>
      </w:r>
    </w:p>
    <w:p w14:paraId="32F6C3C1" w14:textId="7F7E4681" w:rsidR="000269A2" w:rsidRDefault="000269A2" w:rsidP="00A92B22">
      <w:pPr>
        <w:pStyle w:val="Heading2"/>
      </w:pPr>
      <w:bookmarkStart w:id="18" w:name="_Toc71740828"/>
      <w:r>
        <w:t>School impact</w:t>
      </w:r>
      <w:r w:rsidR="007E34F8">
        <w:t xml:space="preserve"> issue</w:t>
      </w:r>
      <w:bookmarkEnd w:id="18"/>
    </w:p>
    <w:p w14:paraId="6A3E1C79" w14:textId="31FC5992" w:rsidR="00826E9D" w:rsidRDefault="00826E9D" w:rsidP="00C60633">
      <w:pPr>
        <w:rPr>
          <w:rFonts w:cs="Arial"/>
          <w:szCs w:val="22"/>
        </w:rPr>
      </w:pPr>
      <w:r>
        <w:rPr>
          <w:rFonts w:cs="Arial"/>
          <w:szCs w:val="22"/>
        </w:rPr>
        <w:t>During the April 7, 2021 public hearing session, t</w:t>
      </w:r>
      <w:r w:rsidR="002965A4">
        <w:rPr>
          <w:rFonts w:cs="Arial"/>
          <w:szCs w:val="22"/>
        </w:rPr>
        <w:t xml:space="preserve">he Zoning Board of Appeals asked </w:t>
      </w:r>
      <w:r>
        <w:rPr>
          <w:rFonts w:cs="Arial"/>
          <w:szCs w:val="22"/>
        </w:rPr>
        <w:t xml:space="preserve">the Applicants to respond to the question of </w:t>
      </w:r>
      <w:r w:rsidR="002965A4">
        <w:rPr>
          <w:rFonts w:cs="Arial"/>
          <w:szCs w:val="22"/>
        </w:rPr>
        <w:t xml:space="preserve">whether </w:t>
      </w:r>
      <w:r>
        <w:rPr>
          <w:rFonts w:cs="Arial"/>
          <w:szCs w:val="22"/>
        </w:rPr>
        <w:t xml:space="preserve">the Board </w:t>
      </w:r>
      <w:r w:rsidR="002965A4">
        <w:rPr>
          <w:rFonts w:cs="Arial"/>
          <w:szCs w:val="22"/>
        </w:rPr>
        <w:t xml:space="preserve">may consider </w:t>
      </w:r>
      <w:r>
        <w:rPr>
          <w:rFonts w:cs="Arial"/>
          <w:szCs w:val="22"/>
        </w:rPr>
        <w:t xml:space="preserve">the school impacts from a 40B project when determining whether to grant a comprehensive permit.  </w:t>
      </w:r>
    </w:p>
    <w:p w14:paraId="72243315" w14:textId="76EDF058" w:rsidR="00826E9D" w:rsidRDefault="00826E9D" w:rsidP="00C60633">
      <w:pPr>
        <w:rPr>
          <w:rFonts w:cs="Arial"/>
          <w:szCs w:val="22"/>
        </w:rPr>
      </w:pPr>
      <w:r>
        <w:rPr>
          <w:rFonts w:cs="Arial"/>
          <w:szCs w:val="22"/>
        </w:rPr>
        <w:t xml:space="preserve">In short, a Zoning Board of Appeals absolutely may </w:t>
      </w:r>
      <w:r w:rsidRPr="00826E9D">
        <w:rPr>
          <w:rFonts w:cs="Arial"/>
          <w:b/>
          <w:bCs/>
          <w:szCs w:val="22"/>
        </w:rPr>
        <w:t>not</w:t>
      </w:r>
      <w:r>
        <w:rPr>
          <w:rFonts w:cs="Arial"/>
          <w:szCs w:val="22"/>
        </w:rPr>
        <w:t xml:space="preserve"> consider school impacts from a 40B project when determining whether to grant a comprehensive permit; and this is settled law</w:t>
      </w:r>
      <w:r w:rsidR="000C75A0">
        <w:rPr>
          <w:rFonts w:cs="Arial"/>
          <w:szCs w:val="22"/>
        </w:rPr>
        <w:t>: (i)</w:t>
      </w:r>
      <w:r>
        <w:rPr>
          <w:rFonts w:cs="Arial"/>
          <w:szCs w:val="22"/>
        </w:rPr>
        <w:t xml:space="preserve">  </w:t>
      </w:r>
      <w:r w:rsidR="000C75A0">
        <w:rPr>
          <w:rFonts w:cs="Arial"/>
          <w:szCs w:val="22"/>
        </w:rPr>
        <w:t xml:space="preserve">through decisions issued </w:t>
      </w:r>
      <w:r>
        <w:rPr>
          <w:rFonts w:cs="Arial"/>
          <w:szCs w:val="22"/>
        </w:rPr>
        <w:t>by the Housing Appeals Committee</w:t>
      </w:r>
      <w:r w:rsidR="000C75A0">
        <w:rPr>
          <w:rFonts w:cs="Arial"/>
          <w:szCs w:val="22"/>
        </w:rPr>
        <w:t xml:space="preserve">; (ii) by explicit requirement in the state regulations that govern comprehensive permit applications; and (iii) by decisional law issued by </w:t>
      </w:r>
      <w:r>
        <w:rPr>
          <w:rFonts w:cs="Arial"/>
          <w:szCs w:val="22"/>
        </w:rPr>
        <w:t>the Supreme Judicial Court</w:t>
      </w:r>
      <w:r w:rsidR="000C75A0">
        <w:rPr>
          <w:rFonts w:cs="Arial"/>
          <w:szCs w:val="22"/>
        </w:rPr>
        <w:t>, the Commonwealth’s highest court.</w:t>
      </w:r>
    </w:p>
    <w:p w14:paraId="7C7D0DDD" w14:textId="49302ED7" w:rsidR="00826E9D" w:rsidRPr="00826E9D" w:rsidRDefault="00826E9D" w:rsidP="00C60633">
      <w:pPr>
        <w:rPr>
          <w:rFonts w:cs="Arial"/>
          <w:b/>
          <w:bCs/>
          <w:szCs w:val="22"/>
        </w:rPr>
      </w:pPr>
      <w:r w:rsidRPr="00826E9D">
        <w:rPr>
          <w:rFonts w:cs="Arial"/>
          <w:b/>
          <w:bCs/>
          <w:szCs w:val="22"/>
        </w:rPr>
        <w:t>A.</w:t>
      </w:r>
      <w:r w:rsidRPr="00826E9D">
        <w:rPr>
          <w:rFonts w:cs="Arial"/>
          <w:b/>
          <w:bCs/>
          <w:szCs w:val="22"/>
        </w:rPr>
        <w:tab/>
        <w:t>Housing Appeals Committee Decisions</w:t>
      </w:r>
    </w:p>
    <w:p w14:paraId="6DBA98E9" w14:textId="01639A92" w:rsidR="00826E9D" w:rsidRDefault="000C75A0" w:rsidP="00C60633">
      <w:pPr>
        <w:rPr>
          <w:rFonts w:cs="Arial"/>
          <w:szCs w:val="22"/>
        </w:rPr>
      </w:pPr>
      <w:r>
        <w:rPr>
          <w:rFonts w:cs="Arial"/>
          <w:szCs w:val="22"/>
        </w:rPr>
        <w:t>For more than thirty years, t</w:t>
      </w:r>
      <w:r w:rsidR="00826E9D">
        <w:rPr>
          <w:rFonts w:cs="Arial"/>
          <w:szCs w:val="22"/>
        </w:rPr>
        <w:t>he Housing Appeals Committee (“Committee”) has consistently held that</w:t>
      </w:r>
      <w:r w:rsidR="000269A2">
        <w:rPr>
          <w:rFonts w:cs="Arial"/>
          <w:szCs w:val="22"/>
        </w:rPr>
        <w:t xml:space="preserve"> the impact of an affordable housing project </w:t>
      </w:r>
      <w:r w:rsidR="000762DE">
        <w:rPr>
          <w:rFonts w:cs="Arial"/>
          <w:szCs w:val="22"/>
        </w:rPr>
        <w:t xml:space="preserve">on </w:t>
      </w:r>
      <w:r w:rsidR="00826E9D">
        <w:rPr>
          <w:rFonts w:cs="Arial"/>
          <w:szCs w:val="22"/>
        </w:rPr>
        <w:t xml:space="preserve">a community’s </w:t>
      </w:r>
      <w:r w:rsidR="000762DE">
        <w:rPr>
          <w:rFonts w:cs="Arial"/>
          <w:szCs w:val="22"/>
        </w:rPr>
        <w:t xml:space="preserve">school facilities </w:t>
      </w:r>
      <w:r w:rsidR="000269A2">
        <w:rPr>
          <w:rFonts w:cs="Arial"/>
          <w:szCs w:val="22"/>
        </w:rPr>
        <w:t xml:space="preserve">is </w:t>
      </w:r>
      <w:r w:rsidR="000269A2" w:rsidRPr="00826E9D">
        <w:rPr>
          <w:rFonts w:cs="Arial"/>
          <w:b/>
          <w:bCs/>
          <w:szCs w:val="22"/>
        </w:rPr>
        <w:t>not</w:t>
      </w:r>
      <w:r w:rsidR="000269A2">
        <w:rPr>
          <w:rFonts w:cs="Arial"/>
          <w:szCs w:val="22"/>
        </w:rPr>
        <w:t xml:space="preserve"> a factor that can be considered by </w:t>
      </w:r>
      <w:r>
        <w:rPr>
          <w:rFonts w:cs="Arial"/>
          <w:szCs w:val="22"/>
        </w:rPr>
        <w:t>a zoning board of appeals when reviewing a comprehensive permit application</w:t>
      </w:r>
      <w:r w:rsidR="000269A2">
        <w:rPr>
          <w:rFonts w:cs="Arial"/>
          <w:szCs w:val="22"/>
        </w:rPr>
        <w:t>.</w:t>
      </w:r>
      <w:r w:rsidR="004A6539">
        <w:rPr>
          <w:rFonts w:cs="Arial"/>
          <w:szCs w:val="22"/>
        </w:rPr>
        <w:t xml:space="preserve"> </w:t>
      </w:r>
    </w:p>
    <w:p w14:paraId="230CB6A1" w14:textId="05F08CF0" w:rsidR="00826E9D" w:rsidRDefault="00826E9D" w:rsidP="00C60633">
      <w:pPr>
        <w:rPr>
          <w:rFonts w:cs="Arial"/>
          <w:szCs w:val="22"/>
        </w:rPr>
      </w:pPr>
      <w:r>
        <w:rPr>
          <w:rFonts w:cs="Arial"/>
          <w:szCs w:val="22"/>
        </w:rPr>
        <w:t>In 1988, the Committee held that</w:t>
      </w:r>
      <w:r w:rsidR="004A6539">
        <w:rPr>
          <w:rFonts w:cs="Arial"/>
          <w:szCs w:val="22"/>
        </w:rPr>
        <w:t xml:space="preserve">: </w:t>
      </w:r>
    </w:p>
    <w:p w14:paraId="243134E2" w14:textId="793A7259" w:rsidR="00826E9D" w:rsidRDefault="00A91B9E" w:rsidP="00826E9D">
      <w:pPr>
        <w:spacing w:after="0" w:line="240" w:lineRule="auto"/>
        <w:ind w:firstLine="720"/>
        <w:rPr>
          <w:rFonts w:cs="Arial"/>
          <w:szCs w:val="22"/>
        </w:rPr>
      </w:pPr>
      <w:r>
        <w:rPr>
          <w:rFonts w:cs="Arial"/>
          <w:szCs w:val="22"/>
        </w:rPr>
        <w:t>[W]</w:t>
      </w:r>
      <w:r w:rsidR="004A6539">
        <w:rPr>
          <w:rFonts w:cs="Arial"/>
          <w:szCs w:val="22"/>
        </w:rPr>
        <w:t xml:space="preserve">e cannot escape the fact that </w:t>
      </w:r>
      <w:r w:rsidR="004A6539" w:rsidRPr="00A91B9E">
        <w:rPr>
          <w:rFonts w:cs="Arial"/>
          <w:b/>
          <w:bCs/>
          <w:szCs w:val="22"/>
        </w:rPr>
        <w:t>the provision of</w:t>
      </w:r>
      <w:r w:rsidR="004A6539">
        <w:rPr>
          <w:rFonts w:cs="Arial"/>
          <w:szCs w:val="22"/>
        </w:rPr>
        <w:t xml:space="preserve"> municipal services, </w:t>
      </w:r>
    </w:p>
    <w:p w14:paraId="5AB5B8E5" w14:textId="285C95F2" w:rsidR="000C75A0" w:rsidRPr="00A91B9E" w:rsidRDefault="004A6539" w:rsidP="00826E9D">
      <w:pPr>
        <w:spacing w:after="0" w:line="240" w:lineRule="auto"/>
        <w:ind w:firstLine="720"/>
        <w:rPr>
          <w:rFonts w:cs="Arial"/>
          <w:b/>
          <w:bCs/>
          <w:szCs w:val="22"/>
        </w:rPr>
      </w:pPr>
      <w:r>
        <w:rPr>
          <w:rFonts w:cs="Arial"/>
          <w:szCs w:val="22"/>
        </w:rPr>
        <w:t xml:space="preserve">particularly </w:t>
      </w:r>
      <w:r w:rsidRPr="00A91B9E">
        <w:rPr>
          <w:rFonts w:cs="Arial"/>
          <w:b/>
          <w:bCs/>
          <w:szCs w:val="22"/>
        </w:rPr>
        <w:t xml:space="preserve">adequate schoolroom facilities and school infrastructure, </w:t>
      </w:r>
    </w:p>
    <w:p w14:paraId="7A71B5C2" w14:textId="5241BF43" w:rsidR="000C75A0" w:rsidRDefault="000C75A0" w:rsidP="00826E9D">
      <w:pPr>
        <w:spacing w:after="0" w:line="240" w:lineRule="auto"/>
        <w:ind w:firstLine="720"/>
        <w:rPr>
          <w:rFonts w:cs="Arial"/>
          <w:szCs w:val="22"/>
        </w:rPr>
      </w:pPr>
      <w:r w:rsidRPr="00A91B9E">
        <w:rPr>
          <w:rFonts w:cs="Arial"/>
          <w:b/>
          <w:bCs/>
          <w:szCs w:val="22"/>
        </w:rPr>
        <w:t>r</w:t>
      </w:r>
      <w:r w:rsidR="004A6539" w:rsidRPr="00A91B9E">
        <w:rPr>
          <w:rFonts w:cs="Arial"/>
          <w:b/>
          <w:bCs/>
          <w:szCs w:val="22"/>
        </w:rPr>
        <w:t>emains a municipal obligation</w:t>
      </w:r>
      <w:r w:rsidR="004A6539">
        <w:rPr>
          <w:rFonts w:cs="Arial"/>
          <w:szCs w:val="22"/>
        </w:rPr>
        <w:t xml:space="preserve">. If there are problems, they are problems </w:t>
      </w:r>
    </w:p>
    <w:p w14:paraId="32D49E7B" w14:textId="77777777" w:rsidR="00942D66" w:rsidRDefault="004A6539" w:rsidP="00826E9D">
      <w:pPr>
        <w:spacing w:after="0" w:line="240" w:lineRule="auto"/>
        <w:ind w:firstLine="720"/>
        <w:rPr>
          <w:rFonts w:cs="Arial"/>
          <w:b/>
          <w:bCs/>
          <w:szCs w:val="22"/>
        </w:rPr>
      </w:pPr>
      <w:r>
        <w:rPr>
          <w:rFonts w:cs="Arial"/>
          <w:szCs w:val="22"/>
        </w:rPr>
        <w:t xml:space="preserve">which the municipality must solve one way or another. </w:t>
      </w:r>
      <w:r w:rsidRPr="00A91B9E">
        <w:rPr>
          <w:rFonts w:cs="Arial"/>
          <w:b/>
          <w:bCs/>
          <w:szCs w:val="22"/>
        </w:rPr>
        <w:t xml:space="preserve">It </w:t>
      </w:r>
      <w:r w:rsidR="00942D66">
        <w:rPr>
          <w:rFonts w:cs="Arial"/>
          <w:b/>
          <w:bCs/>
          <w:szCs w:val="22"/>
        </w:rPr>
        <w:t xml:space="preserve">(a community) </w:t>
      </w:r>
    </w:p>
    <w:p w14:paraId="3EAC8664" w14:textId="77777777" w:rsidR="00942D66" w:rsidRDefault="004A6539" w:rsidP="00826E9D">
      <w:pPr>
        <w:spacing w:after="0" w:line="240" w:lineRule="auto"/>
        <w:ind w:firstLine="720"/>
        <w:rPr>
          <w:rFonts w:cs="Arial"/>
          <w:szCs w:val="22"/>
        </w:rPr>
      </w:pPr>
      <w:r w:rsidRPr="00A91B9E">
        <w:rPr>
          <w:rFonts w:cs="Arial"/>
          <w:b/>
          <w:bCs/>
          <w:szCs w:val="22"/>
        </w:rPr>
        <w:t>cannot solve the problem by denying this application</w:t>
      </w:r>
      <w:r w:rsidRPr="00A91B9E">
        <w:rPr>
          <w:rFonts w:cs="Arial"/>
          <w:szCs w:val="22"/>
        </w:rPr>
        <w:t xml:space="preserve"> which deals with </w:t>
      </w:r>
    </w:p>
    <w:p w14:paraId="228AC476" w14:textId="77777777" w:rsidR="00942D66" w:rsidRDefault="004A6539" w:rsidP="00826E9D">
      <w:pPr>
        <w:spacing w:after="0" w:line="240" w:lineRule="auto"/>
        <w:ind w:firstLine="720"/>
        <w:rPr>
          <w:rFonts w:cs="Arial"/>
          <w:szCs w:val="22"/>
        </w:rPr>
      </w:pPr>
      <w:r w:rsidRPr="00A91B9E">
        <w:rPr>
          <w:rFonts w:cs="Arial"/>
          <w:szCs w:val="22"/>
        </w:rPr>
        <w:t>another municipal</w:t>
      </w:r>
      <w:r w:rsidR="00942D66">
        <w:rPr>
          <w:rFonts w:cs="Arial"/>
          <w:szCs w:val="22"/>
        </w:rPr>
        <w:t xml:space="preserve"> </w:t>
      </w:r>
      <w:r w:rsidRPr="00A91B9E">
        <w:rPr>
          <w:rFonts w:cs="Arial"/>
          <w:szCs w:val="22"/>
        </w:rPr>
        <w:t xml:space="preserve">duty, imposed under a legislative policy which in effect </w:t>
      </w:r>
    </w:p>
    <w:p w14:paraId="354E888E" w14:textId="77777777" w:rsidR="00942D66" w:rsidRDefault="004A6539" w:rsidP="00826E9D">
      <w:pPr>
        <w:spacing w:after="0" w:line="240" w:lineRule="auto"/>
        <w:ind w:firstLine="720"/>
        <w:rPr>
          <w:rFonts w:cs="Arial"/>
          <w:szCs w:val="22"/>
        </w:rPr>
      </w:pPr>
      <w:r w:rsidRPr="00A91B9E">
        <w:rPr>
          <w:rFonts w:cs="Arial"/>
          <w:szCs w:val="22"/>
        </w:rPr>
        <w:t xml:space="preserve">requires Taunton to grant Comprehensive Permits in cases where the </w:t>
      </w:r>
    </w:p>
    <w:p w14:paraId="2EDF6908" w14:textId="77777777" w:rsidR="00942D66" w:rsidRDefault="004A6539" w:rsidP="00826E9D">
      <w:pPr>
        <w:spacing w:after="0" w:line="240" w:lineRule="auto"/>
        <w:ind w:firstLine="720"/>
        <w:rPr>
          <w:rFonts w:cs="Arial"/>
          <w:szCs w:val="22"/>
        </w:rPr>
      </w:pPr>
      <w:r w:rsidRPr="00A91B9E">
        <w:rPr>
          <w:rFonts w:cs="Arial"/>
          <w:szCs w:val="22"/>
        </w:rPr>
        <w:t xml:space="preserve">proposal meets the qualitative requirements in the statute up to the point </w:t>
      </w:r>
    </w:p>
    <w:p w14:paraId="2F6A4E59" w14:textId="77777777" w:rsidR="00942D66" w:rsidRDefault="004A6539" w:rsidP="00942D66">
      <w:pPr>
        <w:spacing w:after="0" w:line="240" w:lineRule="auto"/>
        <w:ind w:firstLine="720"/>
        <w:rPr>
          <w:rFonts w:cs="Arial"/>
          <w:i/>
          <w:iCs/>
          <w:szCs w:val="22"/>
        </w:rPr>
      </w:pPr>
      <w:r w:rsidRPr="00A91B9E">
        <w:rPr>
          <w:rFonts w:cs="Arial"/>
          <w:szCs w:val="22"/>
        </w:rPr>
        <w:t>where Taunton has met the quantitative minima prescribed in Section 20.</w:t>
      </w:r>
      <w:r>
        <w:rPr>
          <w:rFonts w:cs="Arial"/>
          <w:i/>
          <w:iCs/>
          <w:szCs w:val="22"/>
        </w:rPr>
        <w:t xml:space="preserve"> </w:t>
      </w:r>
    </w:p>
    <w:p w14:paraId="3E1D5F28" w14:textId="77777777" w:rsidR="00942D66" w:rsidRDefault="00A91B9E" w:rsidP="00942D66">
      <w:pPr>
        <w:spacing w:after="0" w:line="240" w:lineRule="auto"/>
        <w:ind w:firstLine="720"/>
        <w:rPr>
          <w:rFonts w:cs="Arial"/>
          <w:szCs w:val="22"/>
        </w:rPr>
      </w:pPr>
      <w:r w:rsidRPr="00663F30">
        <w:rPr>
          <w:rFonts w:cs="Arial"/>
          <w:szCs w:val="22"/>
          <w:u w:val="single"/>
        </w:rPr>
        <w:lastRenderedPageBreak/>
        <w:t>Silver Tree Limited Partnership</w:t>
      </w:r>
      <w:r w:rsidRPr="00663F30">
        <w:rPr>
          <w:rFonts w:cs="Arial"/>
          <w:szCs w:val="22"/>
        </w:rPr>
        <w:t xml:space="preserve"> v. </w:t>
      </w:r>
      <w:r w:rsidRPr="00663F30">
        <w:rPr>
          <w:rFonts w:cs="Arial"/>
          <w:szCs w:val="22"/>
          <w:u w:val="single"/>
        </w:rPr>
        <w:t>City of Taunton Board of Appeals</w:t>
      </w:r>
      <w:r>
        <w:rPr>
          <w:rFonts w:cs="Arial"/>
          <w:szCs w:val="22"/>
        </w:rPr>
        <w:t xml:space="preserve">, </w:t>
      </w:r>
    </w:p>
    <w:p w14:paraId="13780EB4" w14:textId="77777777" w:rsidR="00942D66" w:rsidRDefault="00A91B9E" w:rsidP="00942D66">
      <w:pPr>
        <w:spacing w:after="0" w:line="240" w:lineRule="auto"/>
        <w:ind w:firstLine="720"/>
        <w:rPr>
          <w:rFonts w:cs="Arial"/>
          <w:szCs w:val="22"/>
        </w:rPr>
      </w:pPr>
      <w:r>
        <w:rPr>
          <w:rFonts w:cs="Arial"/>
          <w:szCs w:val="22"/>
        </w:rPr>
        <w:t xml:space="preserve">Housing Appeals Committee Docket No. 86-19, Decision dated </w:t>
      </w:r>
    </w:p>
    <w:p w14:paraId="0AC49B3D" w14:textId="631F62E3" w:rsidR="00942D66" w:rsidRDefault="00A91B9E" w:rsidP="00942D66">
      <w:pPr>
        <w:spacing w:after="0" w:line="240" w:lineRule="auto"/>
        <w:ind w:firstLine="720"/>
        <w:rPr>
          <w:rFonts w:cs="Arial"/>
          <w:szCs w:val="22"/>
        </w:rPr>
      </w:pPr>
      <w:r>
        <w:rPr>
          <w:rFonts w:cs="Arial"/>
          <w:szCs w:val="22"/>
        </w:rPr>
        <w:t>October 19, 1988</w:t>
      </w:r>
      <w:r w:rsidR="004A6539">
        <w:rPr>
          <w:rFonts w:cs="Arial"/>
          <w:i/>
          <w:iCs/>
          <w:szCs w:val="22"/>
        </w:rPr>
        <w:t xml:space="preserve"> </w:t>
      </w:r>
      <w:r w:rsidR="000C75A0">
        <w:rPr>
          <w:rFonts w:cs="Arial"/>
          <w:szCs w:val="22"/>
        </w:rPr>
        <w:t>(Emphasis added.)</w:t>
      </w:r>
      <w:r w:rsidR="00FA5847" w:rsidRPr="00FA5847">
        <w:rPr>
          <w:rFonts w:cs="Arial"/>
          <w:szCs w:val="22"/>
        </w:rPr>
        <w:t xml:space="preserve"> </w:t>
      </w:r>
      <w:r w:rsidR="00FA5847">
        <w:rPr>
          <w:rFonts w:cs="Arial"/>
          <w:szCs w:val="22"/>
        </w:rPr>
        <w:t xml:space="preserve">Also see </w:t>
      </w:r>
      <w:r w:rsidR="00FA5847" w:rsidRPr="00942D66">
        <w:rPr>
          <w:rFonts w:cs="Arial"/>
          <w:szCs w:val="22"/>
          <w:u w:val="single"/>
        </w:rPr>
        <w:t>Dexter Street LLC</w:t>
      </w:r>
      <w:r w:rsidR="00FA5847" w:rsidRPr="00942D66">
        <w:rPr>
          <w:rFonts w:cs="Arial"/>
          <w:szCs w:val="22"/>
        </w:rPr>
        <w:t xml:space="preserve">. </w:t>
      </w:r>
      <w:r w:rsidR="00942D66">
        <w:rPr>
          <w:rFonts w:cs="Arial"/>
          <w:szCs w:val="22"/>
        </w:rPr>
        <w:t>v.</w:t>
      </w:r>
    </w:p>
    <w:p w14:paraId="6F58120F" w14:textId="46217B73" w:rsidR="00942D66" w:rsidRDefault="00FA5847" w:rsidP="00942D66">
      <w:pPr>
        <w:spacing w:after="0" w:line="240" w:lineRule="auto"/>
        <w:ind w:firstLine="720"/>
        <w:rPr>
          <w:rFonts w:cs="Arial"/>
          <w:szCs w:val="22"/>
        </w:rPr>
      </w:pPr>
      <w:r w:rsidRPr="00942D66">
        <w:rPr>
          <w:rFonts w:cs="Arial"/>
          <w:szCs w:val="22"/>
          <w:u w:val="single"/>
        </w:rPr>
        <w:t>North Attleborough Board of Appeals</w:t>
      </w:r>
      <w:r>
        <w:rPr>
          <w:rFonts w:cs="Arial"/>
          <w:szCs w:val="22"/>
        </w:rPr>
        <w:t xml:space="preserve">, Housing Appeals Committee </w:t>
      </w:r>
    </w:p>
    <w:p w14:paraId="151A7298" w14:textId="338423A4" w:rsidR="00FA5847" w:rsidRDefault="00FA5847" w:rsidP="00942D66">
      <w:pPr>
        <w:spacing w:after="0" w:line="240" w:lineRule="auto"/>
        <w:ind w:firstLine="720"/>
        <w:rPr>
          <w:rFonts w:cs="Arial"/>
          <w:szCs w:val="22"/>
        </w:rPr>
      </w:pPr>
      <w:r>
        <w:rPr>
          <w:rFonts w:cs="Arial"/>
          <w:szCs w:val="22"/>
        </w:rPr>
        <w:t>Docket No. 00-01, Decision dated July 12, 2000.</w:t>
      </w:r>
    </w:p>
    <w:p w14:paraId="0E5DCCC0" w14:textId="77777777" w:rsidR="00942D66" w:rsidRDefault="00942D66" w:rsidP="00FA5847">
      <w:pPr>
        <w:rPr>
          <w:rFonts w:cs="Arial"/>
          <w:szCs w:val="22"/>
        </w:rPr>
      </w:pPr>
    </w:p>
    <w:p w14:paraId="2F9D08FC" w14:textId="20B9AE3B" w:rsidR="00FA5847" w:rsidRPr="000762DE" w:rsidRDefault="00FA5847" w:rsidP="00FA5847">
      <w:pPr>
        <w:rPr>
          <w:rFonts w:cs="Arial"/>
          <w:szCs w:val="22"/>
        </w:rPr>
      </w:pPr>
      <w:r>
        <w:rPr>
          <w:rFonts w:cs="Arial"/>
          <w:szCs w:val="22"/>
        </w:rPr>
        <w:t xml:space="preserve">The Committee’s consistent rulings in this regard were explicitly memorialized in amendments promulgated to the Chapter 40B Regulations in 2008; specifically under 760 CMR 56.07(2)(b)(4), as discussed more fully below.  </w:t>
      </w:r>
    </w:p>
    <w:p w14:paraId="532A3246" w14:textId="77777777" w:rsidR="00A91B9E" w:rsidRPr="000C75A0" w:rsidRDefault="00A91B9E" w:rsidP="00A91B9E">
      <w:pPr>
        <w:spacing w:after="0" w:line="240" w:lineRule="auto"/>
        <w:ind w:left="720"/>
        <w:rPr>
          <w:rFonts w:cs="Arial"/>
          <w:szCs w:val="22"/>
        </w:rPr>
      </w:pPr>
    </w:p>
    <w:p w14:paraId="4A4DDB83" w14:textId="77777777" w:rsidR="00A91B9E" w:rsidRPr="00A91B9E" w:rsidRDefault="00A91B9E" w:rsidP="00C60633">
      <w:pPr>
        <w:rPr>
          <w:rFonts w:cs="Arial"/>
          <w:b/>
          <w:bCs/>
          <w:szCs w:val="22"/>
        </w:rPr>
      </w:pPr>
      <w:r w:rsidRPr="00A91B9E">
        <w:rPr>
          <w:rFonts w:cs="Arial"/>
          <w:b/>
          <w:bCs/>
          <w:szCs w:val="22"/>
        </w:rPr>
        <w:t>B.</w:t>
      </w:r>
      <w:r w:rsidRPr="00A91B9E">
        <w:rPr>
          <w:rFonts w:cs="Arial"/>
          <w:b/>
          <w:bCs/>
          <w:szCs w:val="22"/>
        </w:rPr>
        <w:tab/>
        <w:t>State Regulations</w:t>
      </w:r>
    </w:p>
    <w:p w14:paraId="0151D4BD" w14:textId="7FBC50E0" w:rsidR="00A91B9E" w:rsidRDefault="00A91B9E" w:rsidP="00C60633">
      <w:pPr>
        <w:rPr>
          <w:rFonts w:cs="Arial"/>
          <w:szCs w:val="22"/>
        </w:rPr>
      </w:pPr>
      <w:r>
        <w:rPr>
          <w:rFonts w:cs="Arial"/>
          <w:szCs w:val="22"/>
        </w:rPr>
        <w:t>In 2008, the state regulations that govern comprehensive permits were amended to include the following provision at 760 CMR 56.07(2)(b)(4):</w:t>
      </w:r>
    </w:p>
    <w:p w14:paraId="69327ACA" w14:textId="77777777" w:rsidR="00FA5847" w:rsidRDefault="00A91B9E" w:rsidP="00A91B9E">
      <w:pPr>
        <w:spacing w:after="0" w:line="240" w:lineRule="auto"/>
        <w:rPr>
          <w:rFonts w:cs="Arial"/>
          <w:szCs w:val="22"/>
        </w:rPr>
      </w:pPr>
      <w:r>
        <w:rPr>
          <w:rFonts w:cs="Arial"/>
          <w:szCs w:val="22"/>
        </w:rPr>
        <w:tab/>
        <w:t xml:space="preserve">[I]f denial or conditions </w:t>
      </w:r>
      <w:r w:rsidR="00FA5847">
        <w:rPr>
          <w:rFonts w:cs="Arial"/>
          <w:szCs w:val="22"/>
        </w:rPr>
        <w:t xml:space="preserve">[of a comprehensive permit] </w:t>
      </w:r>
      <w:r>
        <w:rPr>
          <w:rFonts w:cs="Arial"/>
          <w:szCs w:val="22"/>
        </w:rPr>
        <w:t xml:space="preserve">are based upon the </w:t>
      </w:r>
    </w:p>
    <w:p w14:paraId="41FCDF01" w14:textId="77777777" w:rsidR="00FA5847" w:rsidRDefault="00A91B9E" w:rsidP="00FA5847">
      <w:pPr>
        <w:spacing w:after="0" w:line="240" w:lineRule="auto"/>
        <w:ind w:firstLine="720"/>
        <w:rPr>
          <w:rFonts w:cs="Arial"/>
          <w:szCs w:val="22"/>
        </w:rPr>
      </w:pPr>
      <w:r>
        <w:rPr>
          <w:rFonts w:cs="Arial"/>
          <w:szCs w:val="22"/>
        </w:rPr>
        <w:t xml:space="preserve">inadequacy of existing municipal </w:t>
      </w:r>
      <w:r w:rsidR="00B5049B">
        <w:rPr>
          <w:rFonts w:cs="Arial"/>
          <w:szCs w:val="22"/>
        </w:rPr>
        <w:t xml:space="preserve">services or infrastructure the Board </w:t>
      </w:r>
    </w:p>
    <w:p w14:paraId="3492536D" w14:textId="77777777" w:rsidR="00FA5847" w:rsidRDefault="00B5049B" w:rsidP="00FA5847">
      <w:pPr>
        <w:spacing w:after="0" w:line="240" w:lineRule="auto"/>
        <w:ind w:firstLine="720"/>
        <w:rPr>
          <w:rFonts w:cs="Arial"/>
          <w:szCs w:val="22"/>
        </w:rPr>
      </w:pPr>
      <w:r>
        <w:rPr>
          <w:rFonts w:cs="Arial"/>
          <w:szCs w:val="22"/>
        </w:rPr>
        <w:t>shall have the burden of proving that the</w:t>
      </w:r>
      <w:r w:rsidR="00FA5847">
        <w:rPr>
          <w:rFonts w:cs="Arial"/>
          <w:szCs w:val="22"/>
        </w:rPr>
        <w:t xml:space="preserve"> </w:t>
      </w:r>
      <w:r>
        <w:rPr>
          <w:rFonts w:cs="Arial"/>
          <w:szCs w:val="22"/>
        </w:rPr>
        <w:t xml:space="preserve">installation of services adequate </w:t>
      </w:r>
    </w:p>
    <w:p w14:paraId="66DD56ED" w14:textId="77777777" w:rsidR="00FA5847" w:rsidRDefault="00B5049B" w:rsidP="00FA5847">
      <w:pPr>
        <w:spacing w:after="0" w:line="240" w:lineRule="auto"/>
        <w:ind w:firstLine="720"/>
        <w:rPr>
          <w:rFonts w:cs="Arial"/>
          <w:b/>
          <w:bCs/>
          <w:szCs w:val="22"/>
        </w:rPr>
      </w:pPr>
      <w:r>
        <w:rPr>
          <w:rFonts w:cs="Arial"/>
          <w:szCs w:val="22"/>
        </w:rPr>
        <w:t>to meet local need is not technically or</w:t>
      </w:r>
      <w:r w:rsidR="00FA5847">
        <w:rPr>
          <w:rFonts w:cs="Arial"/>
          <w:szCs w:val="22"/>
        </w:rPr>
        <w:t xml:space="preserve"> </w:t>
      </w:r>
      <w:r>
        <w:rPr>
          <w:rFonts w:cs="Arial"/>
          <w:szCs w:val="22"/>
        </w:rPr>
        <w:t xml:space="preserve">financially feasible.  </w:t>
      </w:r>
      <w:r w:rsidRPr="00B5049B">
        <w:rPr>
          <w:rFonts w:cs="Arial"/>
          <w:b/>
          <w:bCs/>
          <w:szCs w:val="22"/>
        </w:rPr>
        <w:t xml:space="preserve">Financial </w:t>
      </w:r>
    </w:p>
    <w:p w14:paraId="2BAE30F1" w14:textId="77777777" w:rsidR="00FA5847" w:rsidRDefault="00B5049B" w:rsidP="00FA5847">
      <w:pPr>
        <w:spacing w:after="0" w:line="240" w:lineRule="auto"/>
        <w:ind w:firstLine="720"/>
        <w:rPr>
          <w:rFonts w:cs="Arial"/>
          <w:b/>
          <w:bCs/>
          <w:szCs w:val="22"/>
        </w:rPr>
      </w:pPr>
      <w:r w:rsidRPr="00B5049B">
        <w:rPr>
          <w:rFonts w:cs="Arial"/>
          <w:b/>
          <w:bCs/>
          <w:szCs w:val="22"/>
        </w:rPr>
        <w:t>feasibility may be considered only when where</w:t>
      </w:r>
      <w:r w:rsidR="00FA5847">
        <w:rPr>
          <w:rFonts w:cs="Arial"/>
          <w:b/>
          <w:bCs/>
          <w:szCs w:val="22"/>
        </w:rPr>
        <w:t xml:space="preserve"> </w:t>
      </w:r>
      <w:r w:rsidRPr="00B5049B">
        <w:rPr>
          <w:rFonts w:cs="Arial"/>
          <w:b/>
          <w:bCs/>
          <w:szCs w:val="22"/>
        </w:rPr>
        <w:t xml:space="preserve">there is evidence of </w:t>
      </w:r>
    </w:p>
    <w:p w14:paraId="79A73B6A" w14:textId="77777777" w:rsidR="00FA5847" w:rsidRDefault="00B5049B" w:rsidP="00FA5847">
      <w:pPr>
        <w:spacing w:after="0" w:line="240" w:lineRule="auto"/>
        <w:ind w:firstLine="720"/>
        <w:rPr>
          <w:rFonts w:cs="Arial"/>
          <w:b/>
          <w:bCs/>
          <w:szCs w:val="22"/>
        </w:rPr>
      </w:pPr>
      <w:r w:rsidRPr="00B5049B">
        <w:rPr>
          <w:rFonts w:cs="Arial"/>
          <w:b/>
          <w:bCs/>
          <w:szCs w:val="22"/>
        </w:rPr>
        <w:t>unusual topographical, environmental, or other physical</w:t>
      </w:r>
      <w:r w:rsidR="00FA5847">
        <w:rPr>
          <w:rFonts w:cs="Arial"/>
          <w:b/>
          <w:bCs/>
          <w:szCs w:val="22"/>
        </w:rPr>
        <w:t xml:space="preserve"> </w:t>
      </w:r>
      <w:r w:rsidRPr="00B5049B">
        <w:rPr>
          <w:rFonts w:cs="Arial"/>
          <w:b/>
          <w:bCs/>
          <w:szCs w:val="22"/>
        </w:rPr>
        <w:t xml:space="preserve">circumstances </w:t>
      </w:r>
    </w:p>
    <w:p w14:paraId="78068182" w14:textId="77777777" w:rsidR="00FA5847" w:rsidRDefault="00B5049B" w:rsidP="00FA5847">
      <w:pPr>
        <w:spacing w:after="0" w:line="240" w:lineRule="auto"/>
        <w:ind w:firstLine="720"/>
        <w:rPr>
          <w:rFonts w:cs="Arial"/>
          <w:szCs w:val="22"/>
        </w:rPr>
      </w:pPr>
      <w:r>
        <w:rPr>
          <w:rFonts w:cs="Arial"/>
          <w:szCs w:val="22"/>
        </w:rPr>
        <w:t xml:space="preserve">which make the installation of the needed service prohibitively </w:t>
      </w:r>
      <w:proofErr w:type="gramStart"/>
      <w:r>
        <w:rPr>
          <w:rFonts w:cs="Arial"/>
          <w:szCs w:val="22"/>
        </w:rPr>
        <w:t>costly.</w:t>
      </w:r>
      <w:proofErr w:type="gramEnd"/>
      <w:r>
        <w:rPr>
          <w:rFonts w:cs="Arial"/>
          <w:szCs w:val="22"/>
        </w:rPr>
        <w:t xml:space="preserve">  </w:t>
      </w:r>
    </w:p>
    <w:p w14:paraId="1B4AD663" w14:textId="2873A826" w:rsidR="00B5049B" w:rsidRDefault="00B5049B" w:rsidP="00FA5847">
      <w:pPr>
        <w:spacing w:after="0" w:line="240" w:lineRule="auto"/>
        <w:ind w:firstLine="720"/>
        <w:rPr>
          <w:rFonts w:cs="Arial"/>
          <w:szCs w:val="22"/>
        </w:rPr>
      </w:pPr>
      <w:r>
        <w:rPr>
          <w:rFonts w:cs="Arial"/>
          <w:szCs w:val="22"/>
        </w:rPr>
        <w:t>(Emphasis added.)</w:t>
      </w:r>
    </w:p>
    <w:p w14:paraId="18683782" w14:textId="71262A00" w:rsidR="00663F30" w:rsidRDefault="00663F30" w:rsidP="00A91B9E">
      <w:pPr>
        <w:spacing w:after="0" w:line="240" w:lineRule="auto"/>
        <w:rPr>
          <w:rFonts w:cs="Arial"/>
          <w:szCs w:val="22"/>
        </w:rPr>
      </w:pPr>
    </w:p>
    <w:p w14:paraId="60262F8B" w14:textId="6409439B" w:rsidR="00663F30" w:rsidRDefault="00663F30" w:rsidP="00A91B9E">
      <w:pPr>
        <w:spacing w:after="0" w:line="240" w:lineRule="auto"/>
        <w:rPr>
          <w:rFonts w:cs="Arial"/>
          <w:szCs w:val="22"/>
        </w:rPr>
      </w:pPr>
      <w:r>
        <w:rPr>
          <w:rFonts w:cs="Arial"/>
          <w:szCs w:val="22"/>
        </w:rPr>
        <w:t xml:space="preserve">This regulation explicitly provides that any inadequacy of existing municipal infrastructure can be a basis for a zoning board of appeals to deny (or condition) a comprehensive permit </w:t>
      </w:r>
      <w:r w:rsidRPr="00FA5847">
        <w:rPr>
          <w:rFonts w:cs="Arial"/>
          <w:b/>
          <w:bCs/>
          <w:szCs w:val="22"/>
          <w:u w:val="single"/>
        </w:rPr>
        <w:t>only</w:t>
      </w:r>
      <w:r>
        <w:rPr>
          <w:rFonts w:cs="Arial"/>
          <w:szCs w:val="22"/>
        </w:rPr>
        <w:t xml:space="preserve"> when there is a </w:t>
      </w:r>
      <w:r w:rsidRPr="00663F30">
        <w:rPr>
          <w:rFonts w:cs="Arial"/>
          <w:b/>
          <w:bCs/>
          <w:szCs w:val="22"/>
        </w:rPr>
        <w:t>physical circumstance</w:t>
      </w:r>
      <w:r>
        <w:rPr>
          <w:rFonts w:cs="Arial"/>
          <w:szCs w:val="22"/>
        </w:rPr>
        <w:t xml:space="preserve"> that would make installation of the needed service prohibitively expensive.  Of course, the provision of school infrastructure may raise financial concerns, but not physical constraints.</w:t>
      </w:r>
    </w:p>
    <w:p w14:paraId="493E9F16" w14:textId="2CA351E9" w:rsidR="00B5049B" w:rsidRDefault="00B5049B" w:rsidP="00A91B9E">
      <w:pPr>
        <w:spacing w:after="0" w:line="240" w:lineRule="auto"/>
        <w:rPr>
          <w:rFonts w:cs="Arial"/>
          <w:szCs w:val="22"/>
        </w:rPr>
      </w:pPr>
    </w:p>
    <w:p w14:paraId="108A30E3" w14:textId="77777777" w:rsidR="00FA5847" w:rsidRDefault="00FA5847" w:rsidP="00A91B9E">
      <w:pPr>
        <w:spacing w:after="0" w:line="240" w:lineRule="auto"/>
        <w:rPr>
          <w:rFonts w:cs="Arial"/>
          <w:szCs w:val="22"/>
        </w:rPr>
      </w:pPr>
    </w:p>
    <w:p w14:paraId="32303AE8" w14:textId="1E08DECD" w:rsidR="00B5049B" w:rsidRPr="00663F30" w:rsidRDefault="00B5049B" w:rsidP="00A91B9E">
      <w:pPr>
        <w:spacing w:after="0" w:line="240" w:lineRule="auto"/>
        <w:rPr>
          <w:rFonts w:cs="Arial"/>
          <w:b/>
          <w:bCs/>
          <w:szCs w:val="22"/>
        </w:rPr>
      </w:pPr>
      <w:r w:rsidRPr="00663F30">
        <w:rPr>
          <w:rFonts w:cs="Arial"/>
          <w:b/>
          <w:bCs/>
          <w:szCs w:val="22"/>
        </w:rPr>
        <w:t>C.</w:t>
      </w:r>
      <w:r w:rsidRPr="00663F30">
        <w:rPr>
          <w:rFonts w:cs="Arial"/>
          <w:b/>
          <w:bCs/>
          <w:szCs w:val="22"/>
        </w:rPr>
        <w:tab/>
        <w:t>Supreme Judicial Court Decision</w:t>
      </w:r>
    </w:p>
    <w:p w14:paraId="5558323E" w14:textId="338C5136" w:rsidR="00B5049B" w:rsidRDefault="00B5049B" w:rsidP="00A91B9E">
      <w:pPr>
        <w:spacing w:after="0" w:line="240" w:lineRule="auto"/>
        <w:rPr>
          <w:rFonts w:cs="Arial"/>
          <w:szCs w:val="22"/>
        </w:rPr>
      </w:pPr>
    </w:p>
    <w:p w14:paraId="636CCDCD" w14:textId="26A2D2EE" w:rsidR="004A6539" w:rsidRDefault="00663F30" w:rsidP="00FA5847">
      <w:pPr>
        <w:spacing w:after="0" w:line="240" w:lineRule="auto"/>
        <w:rPr>
          <w:rFonts w:cs="Arial"/>
          <w:szCs w:val="22"/>
        </w:rPr>
      </w:pPr>
      <w:r>
        <w:rPr>
          <w:rFonts w:cs="Arial"/>
          <w:szCs w:val="22"/>
        </w:rPr>
        <w:t xml:space="preserve">In 2013, the Supreme Judicial Court expressly ruled that a zoning board of appeals improperly denied a comprehensive permit on the grounds that the </w:t>
      </w:r>
      <w:r w:rsidR="00FA5847">
        <w:rPr>
          <w:rFonts w:cs="Arial"/>
          <w:szCs w:val="22"/>
        </w:rPr>
        <w:t xml:space="preserve">proposed </w:t>
      </w:r>
      <w:r>
        <w:rPr>
          <w:rFonts w:cs="Arial"/>
          <w:szCs w:val="22"/>
        </w:rPr>
        <w:t xml:space="preserve">project could add up to 54 school aged children to the community and, therefore, create a </w:t>
      </w:r>
      <w:r w:rsidR="00FA5847">
        <w:rPr>
          <w:rFonts w:cs="Arial"/>
          <w:szCs w:val="22"/>
        </w:rPr>
        <w:t xml:space="preserve">potential </w:t>
      </w:r>
      <w:r>
        <w:rPr>
          <w:rFonts w:cs="Arial"/>
          <w:szCs w:val="22"/>
        </w:rPr>
        <w:t xml:space="preserve">financial burden for the community. </w:t>
      </w:r>
      <w:r w:rsidRPr="00663F30">
        <w:rPr>
          <w:rFonts w:cs="Arial"/>
          <w:szCs w:val="22"/>
          <w:u w:val="single"/>
        </w:rPr>
        <w:t>Zoning Board of Appeals of Sunderland</w:t>
      </w:r>
      <w:r>
        <w:rPr>
          <w:rFonts w:cs="Arial"/>
          <w:szCs w:val="22"/>
        </w:rPr>
        <w:t xml:space="preserve"> v. </w:t>
      </w:r>
      <w:r w:rsidRPr="00663F30">
        <w:rPr>
          <w:rFonts w:cs="Arial"/>
          <w:szCs w:val="22"/>
          <w:u w:val="single"/>
        </w:rPr>
        <w:t>Sugarbush Meadow, LLC</w:t>
      </w:r>
      <w:r>
        <w:rPr>
          <w:rFonts w:cs="Arial"/>
          <w:szCs w:val="22"/>
        </w:rPr>
        <w:t>, 464 Mass. 166, 184-187 (2013).</w:t>
      </w:r>
      <w:r w:rsidR="00FA5847">
        <w:rPr>
          <w:rFonts w:cs="Arial"/>
          <w:szCs w:val="22"/>
        </w:rPr>
        <w:t xml:space="preserve"> The SJC held that, under 760 CMR 56.07(2)(b)(4), </w:t>
      </w:r>
      <w:r w:rsidR="00097009">
        <w:rPr>
          <w:rFonts w:cs="Arial"/>
          <w:szCs w:val="22"/>
        </w:rPr>
        <w:t xml:space="preserve">the only fiscal impact that may be considered when denying a comprehensive relief is one that involves a physical circumstance.  </w:t>
      </w:r>
      <w:r w:rsidR="00097009" w:rsidRPr="00097009">
        <w:rPr>
          <w:rFonts w:cs="Arial"/>
          <w:szCs w:val="22"/>
          <w:u w:val="single"/>
        </w:rPr>
        <w:t>Id</w:t>
      </w:r>
      <w:r w:rsidR="00097009">
        <w:rPr>
          <w:rFonts w:cs="Arial"/>
          <w:szCs w:val="22"/>
        </w:rPr>
        <w:t xml:space="preserve"> at pp. 186-187.  The SJC noted that “where no such physical circumstances are present,” the regulation :bars the board and the HAC from considering the financial burden of additional municipal services or infrastructure.”  </w:t>
      </w:r>
      <w:r w:rsidR="00097009" w:rsidRPr="00097009">
        <w:rPr>
          <w:rFonts w:cs="Arial"/>
          <w:szCs w:val="22"/>
          <w:u w:val="single"/>
        </w:rPr>
        <w:t>Id</w:t>
      </w:r>
      <w:r w:rsidR="00097009">
        <w:rPr>
          <w:rFonts w:cs="Arial"/>
          <w:szCs w:val="22"/>
        </w:rPr>
        <w:t xml:space="preserve"> at p.186.  The SJC explicitly held when there are no unusual physical circumstances, “a town may address the alleged inadequacy of municipal services through conventional budget adjustments.”  </w:t>
      </w:r>
      <w:r w:rsidR="00097009" w:rsidRPr="00097009">
        <w:rPr>
          <w:rFonts w:cs="Arial"/>
          <w:szCs w:val="22"/>
          <w:u w:val="single"/>
        </w:rPr>
        <w:t>Id</w:t>
      </w:r>
      <w:r w:rsidR="00097009">
        <w:rPr>
          <w:rFonts w:cs="Arial"/>
          <w:szCs w:val="22"/>
        </w:rPr>
        <w:t xml:space="preserve"> at p. 187. The SJC noted that this regulation furthers the statutory purpose of G.L. c.40B to provide “relief from exclusionary zoning practices which prevent the construction of badly needed low and moderate income housing.”  </w:t>
      </w:r>
      <w:r w:rsidR="00097009" w:rsidRPr="00097009">
        <w:rPr>
          <w:rFonts w:cs="Arial"/>
          <w:szCs w:val="22"/>
          <w:u w:val="single"/>
        </w:rPr>
        <w:t>Id</w:t>
      </w:r>
      <w:r w:rsidR="00097009">
        <w:rPr>
          <w:rFonts w:cs="Arial"/>
          <w:szCs w:val="22"/>
        </w:rPr>
        <w:t>.</w:t>
      </w:r>
    </w:p>
    <w:p w14:paraId="7D8B8A45" w14:textId="4F82CC5A" w:rsidR="00FA5847" w:rsidRDefault="00FA5847" w:rsidP="00FA5847">
      <w:pPr>
        <w:spacing w:after="0" w:line="240" w:lineRule="auto"/>
        <w:rPr>
          <w:rFonts w:cs="Arial"/>
          <w:szCs w:val="22"/>
        </w:rPr>
      </w:pPr>
    </w:p>
    <w:p w14:paraId="67E67501" w14:textId="2560ABD8" w:rsidR="00097009" w:rsidRDefault="00097009" w:rsidP="00FA5847">
      <w:pPr>
        <w:spacing w:after="0" w:line="240" w:lineRule="auto"/>
        <w:rPr>
          <w:rFonts w:cs="Arial"/>
          <w:szCs w:val="22"/>
        </w:rPr>
      </w:pPr>
      <w:r>
        <w:rPr>
          <w:rFonts w:cs="Arial"/>
          <w:szCs w:val="22"/>
        </w:rPr>
        <w:t>In summary, the Board may not consider the school impacts from this (or any other) proposed  comprehensive permit project.</w:t>
      </w:r>
    </w:p>
    <w:p w14:paraId="08AD3A2A" w14:textId="789D15AD" w:rsidR="0000242E" w:rsidRDefault="0000242E" w:rsidP="00FA5847">
      <w:pPr>
        <w:spacing w:after="0" w:line="240" w:lineRule="auto"/>
        <w:rPr>
          <w:rFonts w:cs="Arial"/>
          <w:szCs w:val="22"/>
        </w:rPr>
      </w:pPr>
    </w:p>
    <w:p w14:paraId="4DC7F4CC" w14:textId="7F048CB4" w:rsidR="0000242E" w:rsidRDefault="0000242E" w:rsidP="0000242E">
      <w:pPr>
        <w:pStyle w:val="Heading2"/>
      </w:pPr>
      <w:bookmarkStart w:id="19" w:name="_Toc71740829"/>
      <w:r>
        <w:t>Draft Project Development Schedule</w:t>
      </w:r>
      <w:bookmarkEnd w:id="19"/>
    </w:p>
    <w:p w14:paraId="3D55856F" w14:textId="487D09E7" w:rsidR="0000242E" w:rsidRDefault="0000242E" w:rsidP="00FA5847">
      <w:pPr>
        <w:spacing w:after="0" w:line="240" w:lineRule="auto"/>
        <w:rPr>
          <w:rFonts w:cs="Arial"/>
          <w:szCs w:val="22"/>
        </w:rPr>
      </w:pPr>
      <w:r>
        <w:rPr>
          <w:rFonts w:cs="Arial"/>
          <w:szCs w:val="22"/>
        </w:rPr>
        <w:t xml:space="preserve">During the April </w:t>
      </w:r>
      <w:r w:rsidR="006A4A19">
        <w:rPr>
          <w:rFonts w:cs="Arial"/>
          <w:szCs w:val="22"/>
        </w:rPr>
        <w:t>7, 2021 public hearing, the Board asked the Applications to provide information regarding the potential permitting and construction schedule for the Project.  Below is a draft schedule, which is subject to change, of course, including due to the timing and results of DHCD funding rounds.</w:t>
      </w:r>
    </w:p>
    <w:p w14:paraId="1244D59C" w14:textId="75C37EE3" w:rsidR="006A4A19" w:rsidRDefault="006A4A19" w:rsidP="00FA5847">
      <w:pPr>
        <w:spacing w:after="0" w:line="240" w:lineRule="auto"/>
        <w:rPr>
          <w:rFonts w:cs="Arial"/>
          <w:szCs w:val="22"/>
        </w:rPr>
      </w:pPr>
    </w:p>
    <w:p w14:paraId="47E412AE" w14:textId="037F79FB" w:rsidR="006A4A19" w:rsidRPr="006A4A19" w:rsidRDefault="00140465" w:rsidP="00140465">
      <w:pPr>
        <w:spacing w:after="120"/>
        <w:rPr>
          <w:rFonts w:ascii="Times New Roman" w:eastAsia="Times New Roman" w:hAnsi="Times New Roman" w:cs="Times New Roman"/>
          <w:b/>
          <w:bCs/>
          <w:sz w:val="24"/>
        </w:rPr>
      </w:pPr>
      <w:r w:rsidRPr="00014DDF">
        <w:rPr>
          <w:b/>
          <w:bCs/>
          <w:color w:val="365F91" w:themeColor="accent1" w:themeShade="BF"/>
        </w:rPr>
        <w:t xml:space="preserve">Table </w:t>
      </w:r>
      <w:r>
        <w:rPr>
          <w:b/>
          <w:bCs/>
          <w:color w:val="365F91" w:themeColor="accent1" w:themeShade="BF"/>
        </w:rPr>
        <w:t>5</w:t>
      </w:r>
      <w:r w:rsidRPr="00014DDF">
        <w:rPr>
          <w:b/>
          <w:bCs/>
          <w:color w:val="365F91" w:themeColor="accent1" w:themeShade="BF"/>
        </w:rPr>
        <w:t xml:space="preserve"> – </w:t>
      </w:r>
      <w:r>
        <w:rPr>
          <w:b/>
          <w:bCs/>
          <w:color w:val="365F91" w:themeColor="accent1" w:themeShade="BF"/>
        </w:rPr>
        <w:t>Draft Project Development Schedule</w:t>
      </w:r>
      <w:r w:rsidR="006A4A19" w:rsidRPr="006A4A19">
        <w:rPr>
          <w:rFonts w:ascii="Times New Roman" w:eastAsia="Times New Roman" w:hAnsi="Times New Roman" w:cs="Times New Roman"/>
          <w:b/>
          <w:bCs/>
          <w:sz w:val="24"/>
        </w:rPr>
        <w:t xml:space="preserve"> </w:t>
      </w:r>
    </w:p>
    <w:p w14:paraId="13AD8B22" w14:textId="77777777" w:rsidR="006A4A19" w:rsidRPr="006A4A19" w:rsidRDefault="006A4A19" w:rsidP="006A4A19">
      <w:pPr>
        <w:widowControl w:val="0"/>
        <w:autoSpaceDE w:val="0"/>
        <w:autoSpaceDN w:val="0"/>
        <w:spacing w:after="1" w:line="240" w:lineRule="auto"/>
        <w:rPr>
          <w:rFonts w:ascii="Times New Roman" w:eastAsia="Times New Roman" w:hAnsi="Times New Roman" w:cs="Times New Roman"/>
          <w:b/>
          <w:sz w:val="24"/>
          <w:szCs w:val="2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6A4A19" w:rsidRPr="006A4A19" w14:paraId="6D2DAD31" w14:textId="77777777" w:rsidTr="00AC2EA4">
        <w:trPr>
          <w:trHeight w:hRule="exact" w:val="286"/>
        </w:trPr>
        <w:tc>
          <w:tcPr>
            <w:tcW w:w="4675" w:type="dxa"/>
          </w:tcPr>
          <w:p w14:paraId="03BF5CBD" w14:textId="77777777" w:rsidR="006A4A19" w:rsidRPr="006A4A19" w:rsidRDefault="006A4A19" w:rsidP="006A4A19">
            <w:pPr>
              <w:widowControl w:val="0"/>
              <w:autoSpaceDE w:val="0"/>
              <w:autoSpaceDN w:val="0"/>
              <w:spacing w:after="0" w:line="275" w:lineRule="exact"/>
              <w:ind w:left="103"/>
              <w:rPr>
                <w:rFonts w:ascii="Times New Roman" w:eastAsia="Times New Roman" w:hAnsi="Times New Roman" w:cs="Times New Roman"/>
                <w:b/>
                <w:sz w:val="24"/>
                <w:szCs w:val="22"/>
              </w:rPr>
            </w:pPr>
            <w:r w:rsidRPr="006A4A19">
              <w:rPr>
                <w:rFonts w:ascii="Times New Roman" w:eastAsia="Times New Roman" w:hAnsi="Times New Roman" w:cs="Times New Roman"/>
                <w:b/>
                <w:sz w:val="24"/>
                <w:szCs w:val="22"/>
              </w:rPr>
              <w:t>Development Schedule</w:t>
            </w:r>
          </w:p>
        </w:tc>
        <w:tc>
          <w:tcPr>
            <w:tcW w:w="4675" w:type="dxa"/>
          </w:tcPr>
          <w:p w14:paraId="5F5579C7" w14:textId="77777777" w:rsidR="006A4A19" w:rsidRPr="006A4A19" w:rsidRDefault="006A4A19" w:rsidP="006A4A19">
            <w:pPr>
              <w:widowControl w:val="0"/>
              <w:autoSpaceDE w:val="0"/>
              <w:autoSpaceDN w:val="0"/>
              <w:spacing w:after="0" w:line="275" w:lineRule="exact"/>
              <w:ind w:left="1766" w:right="1766"/>
              <w:jc w:val="center"/>
              <w:rPr>
                <w:rFonts w:ascii="Times New Roman" w:eastAsia="Times New Roman" w:hAnsi="Times New Roman" w:cs="Times New Roman"/>
                <w:b/>
                <w:sz w:val="24"/>
                <w:szCs w:val="22"/>
              </w:rPr>
            </w:pPr>
            <w:r w:rsidRPr="006A4A19">
              <w:rPr>
                <w:rFonts w:ascii="Times New Roman" w:eastAsia="Times New Roman" w:hAnsi="Times New Roman" w:cs="Times New Roman"/>
                <w:b/>
                <w:sz w:val="24"/>
                <w:szCs w:val="22"/>
              </w:rPr>
              <w:t>Date</w:t>
            </w:r>
          </w:p>
        </w:tc>
      </w:tr>
      <w:tr w:rsidR="006A4A19" w:rsidRPr="006A4A19" w14:paraId="17FB41C8" w14:textId="77777777" w:rsidTr="00AC2EA4">
        <w:trPr>
          <w:trHeight w:hRule="exact" w:val="286"/>
        </w:trPr>
        <w:tc>
          <w:tcPr>
            <w:tcW w:w="4675" w:type="dxa"/>
          </w:tcPr>
          <w:p w14:paraId="0C5A3235" w14:textId="77777777" w:rsidR="006A4A19" w:rsidRPr="006A4A19" w:rsidRDefault="006A4A19" w:rsidP="006A4A19">
            <w:pPr>
              <w:widowControl w:val="0"/>
              <w:autoSpaceDE w:val="0"/>
              <w:autoSpaceDN w:val="0"/>
              <w:spacing w:after="0" w:line="275" w:lineRule="exact"/>
              <w:ind w:left="103"/>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ZBA Hearing</w:t>
            </w:r>
          </w:p>
        </w:tc>
        <w:tc>
          <w:tcPr>
            <w:tcW w:w="4675" w:type="dxa"/>
          </w:tcPr>
          <w:p w14:paraId="7B44C30A" w14:textId="14DECBFC" w:rsidR="006A4A19" w:rsidRPr="006A4A19" w:rsidRDefault="002A5BC4" w:rsidP="002A5BC4">
            <w:pPr>
              <w:widowControl w:val="0"/>
              <w:autoSpaceDE w:val="0"/>
              <w:autoSpaceDN w:val="0"/>
              <w:spacing w:after="0" w:line="275" w:lineRule="exact"/>
              <w:ind w:right="1766"/>
              <w:rPr>
                <w:rFonts w:ascii="Times New Roman" w:eastAsia="Times New Roman" w:hAnsi="Times New Roman" w:cs="Times New Roman"/>
                <w:sz w:val="24"/>
                <w:szCs w:val="22"/>
              </w:rPr>
            </w:pPr>
            <w:r>
              <w:rPr>
                <w:rFonts w:ascii="Times New Roman" w:eastAsia="Times New Roman" w:hAnsi="Times New Roman" w:cs="Times New Roman"/>
                <w:sz w:val="24"/>
                <w:szCs w:val="22"/>
              </w:rPr>
              <w:t xml:space="preserve">  In process since  03/04/2021 </w:t>
            </w:r>
          </w:p>
        </w:tc>
      </w:tr>
      <w:tr w:rsidR="006A4A19" w:rsidRPr="006A4A19" w14:paraId="0217E897" w14:textId="77777777" w:rsidTr="00AC2EA4">
        <w:trPr>
          <w:trHeight w:hRule="exact" w:val="286"/>
        </w:trPr>
        <w:tc>
          <w:tcPr>
            <w:tcW w:w="4675" w:type="dxa"/>
          </w:tcPr>
          <w:p w14:paraId="1D1765E8" w14:textId="77777777" w:rsidR="006A4A19" w:rsidRPr="006A4A19" w:rsidRDefault="006A4A19" w:rsidP="006A4A19">
            <w:pPr>
              <w:widowControl w:val="0"/>
              <w:autoSpaceDE w:val="0"/>
              <w:autoSpaceDN w:val="0"/>
              <w:spacing w:after="0" w:line="275" w:lineRule="exact"/>
              <w:ind w:left="103"/>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DHCD Pre-Application for Funding</w:t>
            </w:r>
          </w:p>
        </w:tc>
        <w:tc>
          <w:tcPr>
            <w:tcW w:w="4675" w:type="dxa"/>
          </w:tcPr>
          <w:p w14:paraId="25AD3D5D" w14:textId="77777777" w:rsidR="006A4A19" w:rsidRPr="006A4A19" w:rsidRDefault="006A4A19" w:rsidP="006A4A19">
            <w:pPr>
              <w:widowControl w:val="0"/>
              <w:autoSpaceDE w:val="0"/>
              <w:autoSpaceDN w:val="0"/>
              <w:spacing w:after="0" w:line="275" w:lineRule="exact"/>
              <w:ind w:left="1766" w:right="1766"/>
              <w:jc w:val="center"/>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11/15/2021</w:t>
            </w:r>
          </w:p>
        </w:tc>
      </w:tr>
      <w:tr w:rsidR="006A4A19" w:rsidRPr="006A4A19" w14:paraId="5620148E" w14:textId="77777777" w:rsidTr="00AC2EA4">
        <w:trPr>
          <w:trHeight w:hRule="exact" w:val="288"/>
        </w:trPr>
        <w:tc>
          <w:tcPr>
            <w:tcW w:w="4675" w:type="dxa"/>
          </w:tcPr>
          <w:p w14:paraId="6A428720" w14:textId="77777777" w:rsidR="006A4A19" w:rsidRPr="006A4A19" w:rsidRDefault="006A4A19" w:rsidP="006A4A19">
            <w:pPr>
              <w:widowControl w:val="0"/>
              <w:autoSpaceDE w:val="0"/>
              <w:autoSpaceDN w:val="0"/>
              <w:spacing w:before="1" w:after="0" w:line="240" w:lineRule="auto"/>
              <w:ind w:left="103"/>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DHCD Funding Round</w:t>
            </w:r>
          </w:p>
        </w:tc>
        <w:tc>
          <w:tcPr>
            <w:tcW w:w="4675" w:type="dxa"/>
          </w:tcPr>
          <w:p w14:paraId="1546BF28" w14:textId="77777777" w:rsidR="006A4A19" w:rsidRPr="006A4A19" w:rsidRDefault="006A4A19" w:rsidP="006A4A19">
            <w:pPr>
              <w:widowControl w:val="0"/>
              <w:autoSpaceDE w:val="0"/>
              <w:autoSpaceDN w:val="0"/>
              <w:spacing w:before="1" w:after="0" w:line="240" w:lineRule="auto"/>
              <w:ind w:left="1766" w:right="1766"/>
              <w:jc w:val="center"/>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2/15/2022</w:t>
            </w:r>
          </w:p>
        </w:tc>
      </w:tr>
      <w:tr w:rsidR="006A4A19" w:rsidRPr="006A4A19" w14:paraId="6A13536C" w14:textId="77777777" w:rsidTr="00AC2EA4">
        <w:trPr>
          <w:trHeight w:hRule="exact" w:val="286"/>
        </w:trPr>
        <w:tc>
          <w:tcPr>
            <w:tcW w:w="4675" w:type="dxa"/>
          </w:tcPr>
          <w:p w14:paraId="27C1802D" w14:textId="77777777" w:rsidR="006A4A19" w:rsidRPr="006A4A19" w:rsidRDefault="006A4A19" w:rsidP="006A4A19">
            <w:pPr>
              <w:widowControl w:val="0"/>
              <w:autoSpaceDE w:val="0"/>
              <w:autoSpaceDN w:val="0"/>
              <w:spacing w:after="0" w:line="275" w:lineRule="exact"/>
              <w:ind w:left="103"/>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DHCD Funding Award</w:t>
            </w:r>
          </w:p>
        </w:tc>
        <w:tc>
          <w:tcPr>
            <w:tcW w:w="4675" w:type="dxa"/>
          </w:tcPr>
          <w:p w14:paraId="455F0A1A" w14:textId="77777777" w:rsidR="006A4A19" w:rsidRPr="006A4A19" w:rsidRDefault="006A4A19" w:rsidP="006A4A19">
            <w:pPr>
              <w:widowControl w:val="0"/>
              <w:autoSpaceDE w:val="0"/>
              <w:autoSpaceDN w:val="0"/>
              <w:spacing w:after="0" w:line="275" w:lineRule="exact"/>
              <w:ind w:left="1766" w:right="1765"/>
              <w:jc w:val="center"/>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8/1/2022</w:t>
            </w:r>
          </w:p>
        </w:tc>
      </w:tr>
      <w:tr w:rsidR="006A4A19" w:rsidRPr="006A4A19" w14:paraId="45943484" w14:textId="77777777" w:rsidTr="00AC2EA4">
        <w:trPr>
          <w:trHeight w:hRule="exact" w:val="286"/>
        </w:trPr>
        <w:tc>
          <w:tcPr>
            <w:tcW w:w="4675" w:type="dxa"/>
          </w:tcPr>
          <w:p w14:paraId="0274371F" w14:textId="77777777" w:rsidR="006A4A19" w:rsidRPr="006A4A19" w:rsidRDefault="006A4A19" w:rsidP="006A4A19">
            <w:pPr>
              <w:widowControl w:val="0"/>
              <w:autoSpaceDE w:val="0"/>
              <w:autoSpaceDN w:val="0"/>
              <w:spacing w:after="0" w:line="275" w:lineRule="exact"/>
              <w:ind w:left="103"/>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Construction Start</w:t>
            </w:r>
          </w:p>
        </w:tc>
        <w:tc>
          <w:tcPr>
            <w:tcW w:w="4675" w:type="dxa"/>
          </w:tcPr>
          <w:p w14:paraId="3F734E6B" w14:textId="77777777" w:rsidR="006A4A19" w:rsidRPr="006A4A19" w:rsidRDefault="006A4A19" w:rsidP="006A4A19">
            <w:pPr>
              <w:widowControl w:val="0"/>
              <w:autoSpaceDE w:val="0"/>
              <w:autoSpaceDN w:val="0"/>
              <w:spacing w:after="0" w:line="275" w:lineRule="exact"/>
              <w:ind w:left="1766" w:right="1766"/>
              <w:jc w:val="center"/>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4/1/2023</w:t>
            </w:r>
          </w:p>
        </w:tc>
      </w:tr>
      <w:tr w:rsidR="006A4A19" w:rsidRPr="006A4A19" w14:paraId="4A21F83C" w14:textId="77777777" w:rsidTr="00AC2EA4">
        <w:trPr>
          <w:trHeight w:hRule="exact" w:val="286"/>
        </w:trPr>
        <w:tc>
          <w:tcPr>
            <w:tcW w:w="4675" w:type="dxa"/>
          </w:tcPr>
          <w:p w14:paraId="61AF8E08" w14:textId="77777777" w:rsidR="006A4A19" w:rsidRPr="006A4A19" w:rsidRDefault="006A4A19" w:rsidP="006A4A19">
            <w:pPr>
              <w:widowControl w:val="0"/>
              <w:autoSpaceDE w:val="0"/>
              <w:autoSpaceDN w:val="0"/>
              <w:spacing w:after="0" w:line="275" w:lineRule="exact"/>
              <w:ind w:left="103"/>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Construction Completion</w:t>
            </w:r>
          </w:p>
        </w:tc>
        <w:tc>
          <w:tcPr>
            <w:tcW w:w="4675" w:type="dxa"/>
          </w:tcPr>
          <w:p w14:paraId="26E8C032" w14:textId="77777777" w:rsidR="006A4A19" w:rsidRPr="006A4A19" w:rsidRDefault="006A4A19" w:rsidP="006A4A19">
            <w:pPr>
              <w:widowControl w:val="0"/>
              <w:autoSpaceDE w:val="0"/>
              <w:autoSpaceDN w:val="0"/>
              <w:spacing w:after="0" w:line="275" w:lineRule="exact"/>
              <w:ind w:left="1766" w:right="1765"/>
              <w:jc w:val="center"/>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12/1/2023</w:t>
            </w:r>
          </w:p>
        </w:tc>
      </w:tr>
      <w:tr w:rsidR="006A4A19" w:rsidRPr="006A4A19" w14:paraId="4A06A5A5" w14:textId="77777777" w:rsidTr="00AC2EA4">
        <w:trPr>
          <w:trHeight w:hRule="exact" w:val="286"/>
        </w:trPr>
        <w:tc>
          <w:tcPr>
            <w:tcW w:w="4675" w:type="dxa"/>
          </w:tcPr>
          <w:p w14:paraId="143CE6DF" w14:textId="77777777" w:rsidR="006A4A19" w:rsidRPr="006A4A19" w:rsidRDefault="006A4A19" w:rsidP="006A4A19">
            <w:pPr>
              <w:widowControl w:val="0"/>
              <w:autoSpaceDE w:val="0"/>
              <w:autoSpaceDN w:val="0"/>
              <w:spacing w:after="0" w:line="275" w:lineRule="exact"/>
              <w:ind w:left="103"/>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Full Occupancy</w:t>
            </w:r>
          </w:p>
        </w:tc>
        <w:tc>
          <w:tcPr>
            <w:tcW w:w="4675" w:type="dxa"/>
          </w:tcPr>
          <w:p w14:paraId="7F71C104" w14:textId="77777777" w:rsidR="006A4A19" w:rsidRPr="006A4A19" w:rsidRDefault="006A4A19" w:rsidP="006A4A19">
            <w:pPr>
              <w:widowControl w:val="0"/>
              <w:autoSpaceDE w:val="0"/>
              <w:autoSpaceDN w:val="0"/>
              <w:spacing w:after="0" w:line="275" w:lineRule="exact"/>
              <w:ind w:left="1766" w:right="1765"/>
              <w:jc w:val="center"/>
              <w:rPr>
                <w:rFonts w:ascii="Times New Roman" w:eastAsia="Times New Roman" w:hAnsi="Times New Roman" w:cs="Times New Roman"/>
                <w:sz w:val="24"/>
                <w:szCs w:val="22"/>
              </w:rPr>
            </w:pPr>
            <w:r w:rsidRPr="006A4A19">
              <w:rPr>
                <w:rFonts w:ascii="Times New Roman" w:eastAsia="Times New Roman" w:hAnsi="Times New Roman" w:cs="Times New Roman"/>
                <w:sz w:val="24"/>
                <w:szCs w:val="22"/>
              </w:rPr>
              <w:t>5/1/2024</w:t>
            </w:r>
          </w:p>
        </w:tc>
      </w:tr>
    </w:tbl>
    <w:p w14:paraId="7C0D9A0F" w14:textId="77777777" w:rsidR="006A4A19" w:rsidRPr="006A4A19" w:rsidRDefault="006A4A19" w:rsidP="006A4A19">
      <w:pPr>
        <w:widowControl w:val="0"/>
        <w:autoSpaceDE w:val="0"/>
        <w:autoSpaceDN w:val="0"/>
        <w:spacing w:after="0" w:line="240" w:lineRule="auto"/>
        <w:rPr>
          <w:rFonts w:ascii="Times New Roman" w:eastAsia="Times New Roman" w:hAnsi="Times New Roman" w:cs="Times New Roman"/>
          <w:szCs w:val="22"/>
        </w:rPr>
      </w:pPr>
    </w:p>
    <w:p w14:paraId="67E7B3A9" w14:textId="77777777" w:rsidR="006A4A19" w:rsidRDefault="006A4A19" w:rsidP="00FA5847">
      <w:pPr>
        <w:spacing w:after="0" w:line="240" w:lineRule="auto"/>
        <w:rPr>
          <w:rFonts w:cs="Arial"/>
          <w:szCs w:val="22"/>
        </w:rPr>
      </w:pPr>
    </w:p>
    <w:p w14:paraId="2533C2E1" w14:textId="77777777" w:rsidR="0000242E" w:rsidRDefault="0000242E" w:rsidP="00FA5847">
      <w:pPr>
        <w:spacing w:after="0" w:line="240" w:lineRule="auto"/>
        <w:rPr>
          <w:rFonts w:cs="Arial"/>
          <w:szCs w:val="22"/>
        </w:rPr>
      </w:pPr>
    </w:p>
    <w:sectPr w:rsidR="0000242E" w:rsidSect="0034337E">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F5B0" w14:textId="77777777" w:rsidR="00C926E1" w:rsidRDefault="00C926E1" w:rsidP="00B61BF3">
      <w:pPr>
        <w:spacing w:after="0" w:line="240" w:lineRule="auto"/>
      </w:pPr>
      <w:r>
        <w:separator/>
      </w:r>
    </w:p>
  </w:endnote>
  <w:endnote w:type="continuationSeparator" w:id="0">
    <w:p w14:paraId="698DBE4C" w14:textId="77777777" w:rsidR="00C926E1" w:rsidRDefault="00C926E1" w:rsidP="00B6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00000087" w:usb1="00000000" w:usb2="00000000" w:usb3="00000000" w:csb0="0000001B"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1529"/>
      <w:docPartObj>
        <w:docPartGallery w:val="Page Numbers (Bottom of Page)"/>
        <w:docPartUnique/>
      </w:docPartObj>
    </w:sdtPr>
    <w:sdtEndPr/>
    <w:sdtContent>
      <w:p w14:paraId="2586B700" w14:textId="77777777" w:rsidR="008D14E3" w:rsidRDefault="008D14E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156D" w14:textId="76E05FE0" w:rsidR="008D14E3" w:rsidRPr="00BE3A01" w:rsidRDefault="008D14E3" w:rsidP="00021697">
    <w:pPr>
      <w:pStyle w:val="Footer"/>
      <w:pBdr>
        <w:bottom w:val="single" w:sz="4" w:space="1" w:color="1F497D" w:themeColor="text2"/>
      </w:pBdr>
      <w:rPr>
        <w:szCs w:val="22"/>
      </w:rPr>
    </w:pPr>
  </w:p>
  <w:p w14:paraId="091DE99E" w14:textId="3E0E26F4" w:rsidR="008D14E3" w:rsidRPr="00BE3A01" w:rsidRDefault="008D14E3" w:rsidP="00021697">
    <w:pPr>
      <w:pStyle w:val="Footer"/>
      <w:tabs>
        <w:tab w:val="right" w:pos="12960"/>
      </w:tabs>
      <w:rPr>
        <w:szCs w:val="22"/>
      </w:rPr>
    </w:pPr>
    <w:r>
      <w:rPr>
        <w:szCs w:val="22"/>
      </w:rPr>
      <w:t>Cape View Way</w:t>
    </w:r>
    <w:r w:rsidRPr="00BE3A01">
      <w:rPr>
        <w:szCs w:val="22"/>
      </w:rPr>
      <w:tab/>
    </w:r>
    <w:r>
      <w:rPr>
        <w:szCs w:val="22"/>
      </w:rPr>
      <w:tab/>
      <w:t>POAH/HAC</w:t>
    </w:r>
  </w:p>
  <w:p w14:paraId="5B97FEE8" w14:textId="2AA60DEE" w:rsidR="008D14E3" w:rsidRPr="00BE3A01" w:rsidRDefault="008D14E3" w:rsidP="00021697">
    <w:pPr>
      <w:pStyle w:val="Footer"/>
      <w:tabs>
        <w:tab w:val="right" w:pos="12960"/>
      </w:tabs>
      <w:rPr>
        <w:szCs w:val="22"/>
      </w:rPr>
    </w:pPr>
    <w:r>
      <w:rPr>
        <w:szCs w:val="22"/>
      </w:rPr>
      <w:t>Bourne</w:t>
    </w:r>
    <w:r w:rsidRPr="00BE3A01">
      <w:rPr>
        <w:szCs w:val="22"/>
      </w:rPr>
      <w:t>, Massachusetts</w:t>
    </w:r>
    <w:r w:rsidRPr="00BE3A01">
      <w:rPr>
        <w:szCs w:val="22"/>
      </w:rPr>
      <w:tab/>
    </w:r>
    <w:r w:rsidRPr="00BE3A01">
      <w:rPr>
        <w:szCs w:val="22"/>
      </w:rPr>
      <w:tab/>
    </w:r>
    <w:r>
      <w:rPr>
        <w:szCs w:val="22"/>
      </w:rPr>
      <w:t xml:space="preserve">May </w:t>
    </w:r>
    <w:r w:rsidR="00F737A2">
      <w:rPr>
        <w:szCs w:val="22"/>
      </w:rPr>
      <w:t xml:space="preserve">13, </w:t>
    </w:r>
    <w:r>
      <w:rPr>
        <w:szCs w:val="22"/>
      </w:rPr>
      <w:t>2021</w:t>
    </w:r>
  </w:p>
  <w:p w14:paraId="711AE012" w14:textId="0DD4D58A" w:rsidR="008D14E3" w:rsidRPr="00BE3A01" w:rsidRDefault="00C926E1" w:rsidP="00F50414">
    <w:pPr>
      <w:pStyle w:val="Footer"/>
      <w:tabs>
        <w:tab w:val="right" w:pos="12960"/>
      </w:tabs>
      <w:jc w:val="center"/>
      <w:rPr>
        <w:szCs w:val="22"/>
      </w:rPr>
    </w:pPr>
    <w:sdt>
      <w:sdtPr>
        <w:rPr>
          <w:szCs w:val="22"/>
        </w:rPr>
        <w:id w:val="498793"/>
        <w:docPartObj>
          <w:docPartGallery w:val="Page Numbers (Top of Page)"/>
          <w:docPartUnique/>
        </w:docPartObj>
      </w:sdtPr>
      <w:sdtEndPr/>
      <w:sdtContent>
        <w:sdt>
          <w:sdtPr>
            <w:rPr>
              <w:szCs w:val="22"/>
            </w:rPr>
            <w:id w:val="498794"/>
            <w:docPartObj>
              <w:docPartGallery w:val="Page Numbers (Top of Page)"/>
              <w:docPartUnique/>
            </w:docPartObj>
          </w:sdtPr>
          <w:sdtEndPr/>
          <w:sdtContent>
            <w:r w:rsidR="008D14E3" w:rsidRPr="00BE3A01">
              <w:rPr>
                <w:szCs w:val="22"/>
              </w:rPr>
              <w:t xml:space="preserve">Page </w:t>
            </w:r>
            <w:r w:rsidR="008D14E3">
              <w:rPr>
                <w:szCs w:val="22"/>
              </w:rPr>
              <w:fldChar w:fldCharType="begin"/>
            </w:r>
            <w:r w:rsidR="008D14E3">
              <w:rPr>
                <w:szCs w:val="22"/>
              </w:rPr>
              <w:instrText xml:space="preserve"> PAGE  \* Arabic  \* MERGEFORMAT </w:instrText>
            </w:r>
            <w:r w:rsidR="008D14E3">
              <w:rPr>
                <w:szCs w:val="22"/>
              </w:rPr>
              <w:fldChar w:fldCharType="separate"/>
            </w:r>
            <w:r w:rsidR="008D14E3">
              <w:rPr>
                <w:noProof/>
                <w:szCs w:val="22"/>
              </w:rPr>
              <w:t>1</w:t>
            </w:r>
            <w:r w:rsidR="008D14E3">
              <w:rPr>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BBFB" w14:textId="77777777" w:rsidR="00C926E1" w:rsidRDefault="00C926E1" w:rsidP="00B61BF3">
      <w:pPr>
        <w:spacing w:after="0" w:line="240" w:lineRule="auto"/>
      </w:pPr>
      <w:r>
        <w:separator/>
      </w:r>
    </w:p>
  </w:footnote>
  <w:footnote w:type="continuationSeparator" w:id="0">
    <w:p w14:paraId="42575D30" w14:textId="77777777" w:rsidR="00C926E1" w:rsidRDefault="00C926E1" w:rsidP="00B61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D87"/>
    <w:multiLevelType w:val="hybridMultilevel"/>
    <w:tmpl w:val="27288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705C6"/>
    <w:multiLevelType w:val="hybridMultilevel"/>
    <w:tmpl w:val="4384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357B4"/>
    <w:multiLevelType w:val="hybridMultilevel"/>
    <w:tmpl w:val="D23281E4"/>
    <w:lvl w:ilvl="0" w:tplc="6D40D3C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22B22"/>
    <w:multiLevelType w:val="hybridMultilevel"/>
    <w:tmpl w:val="F5CEA878"/>
    <w:lvl w:ilvl="0" w:tplc="4D90F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5EFF"/>
    <w:multiLevelType w:val="hybridMultilevel"/>
    <w:tmpl w:val="356C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C3F2A"/>
    <w:multiLevelType w:val="hybridMultilevel"/>
    <w:tmpl w:val="66B0F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6500D4"/>
    <w:multiLevelType w:val="hybridMultilevel"/>
    <w:tmpl w:val="C83C5BAC"/>
    <w:lvl w:ilvl="0" w:tplc="4D90F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B11BA"/>
    <w:multiLevelType w:val="hybridMultilevel"/>
    <w:tmpl w:val="64BE55C4"/>
    <w:lvl w:ilvl="0" w:tplc="A490AAA6">
      <w:start w:val="1"/>
      <w:numFmt w:val="decimal"/>
      <w:lvlText w:val="%1."/>
      <w:lvlJc w:val="left"/>
      <w:pPr>
        <w:ind w:left="720" w:hanging="360"/>
      </w:pPr>
      <w:rPr>
        <w:rFonts w:ascii="Arial" w:hAnsi="Arial" w:cstheme="min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0219E"/>
    <w:multiLevelType w:val="multilevel"/>
    <w:tmpl w:val="6F66287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ascii="Futura Bk BT" w:hAnsi="Futura Bk BT"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8BD1D80"/>
    <w:multiLevelType w:val="hybridMultilevel"/>
    <w:tmpl w:val="F478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77218"/>
    <w:multiLevelType w:val="hybridMultilevel"/>
    <w:tmpl w:val="A628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17217"/>
    <w:multiLevelType w:val="hybridMultilevel"/>
    <w:tmpl w:val="7AAE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20891"/>
    <w:multiLevelType w:val="hybridMultilevel"/>
    <w:tmpl w:val="A69A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F7AEF"/>
    <w:multiLevelType w:val="hybridMultilevel"/>
    <w:tmpl w:val="4BBE17DE"/>
    <w:lvl w:ilvl="0" w:tplc="B972BBCE">
      <w:start w:val="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27C50"/>
    <w:multiLevelType w:val="hybridMultilevel"/>
    <w:tmpl w:val="57DC0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7F3A4D"/>
    <w:multiLevelType w:val="hybridMultilevel"/>
    <w:tmpl w:val="C1F2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A20317"/>
    <w:multiLevelType w:val="hybridMultilevel"/>
    <w:tmpl w:val="774ADED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2A73694"/>
    <w:multiLevelType w:val="hybridMultilevel"/>
    <w:tmpl w:val="FDEC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94901"/>
    <w:multiLevelType w:val="hybridMultilevel"/>
    <w:tmpl w:val="B938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22443"/>
    <w:multiLevelType w:val="hybridMultilevel"/>
    <w:tmpl w:val="CBA63966"/>
    <w:lvl w:ilvl="0" w:tplc="A6D0E792">
      <w:start w:val="1"/>
      <w:numFmt w:val="decimal"/>
      <w:lvlText w:val="%1."/>
      <w:lvlJc w:val="left"/>
      <w:pPr>
        <w:ind w:left="720" w:hanging="360"/>
      </w:pPr>
      <w:rPr>
        <w:rFonts w:hint="default"/>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90ADE"/>
    <w:multiLevelType w:val="hybridMultilevel"/>
    <w:tmpl w:val="20F233C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7465CC3"/>
    <w:multiLevelType w:val="hybridMultilevel"/>
    <w:tmpl w:val="E0B8AE52"/>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AA83985"/>
    <w:multiLevelType w:val="hybridMultilevel"/>
    <w:tmpl w:val="9AC87BBC"/>
    <w:lvl w:ilvl="0" w:tplc="7166B96A">
      <w:numFmt w:val="bullet"/>
      <w:lvlText w:val="•"/>
      <w:lvlJc w:val="left"/>
      <w:pPr>
        <w:ind w:left="720" w:hanging="360"/>
      </w:pPr>
      <w:rPr>
        <w:rFonts w:ascii="TimesNewRoman" w:eastAsiaTheme="minorHAns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638AC"/>
    <w:multiLevelType w:val="hybridMultilevel"/>
    <w:tmpl w:val="CDBE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D600F"/>
    <w:multiLevelType w:val="hybridMultilevel"/>
    <w:tmpl w:val="7D849840"/>
    <w:lvl w:ilvl="0" w:tplc="78EC7BD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5" w15:restartNumberingAfterBreak="0">
    <w:nsid w:val="68542F1B"/>
    <w:multiLevelType w:val="hybridMultilevel"/>
    <w:tmpl w:val="A63A9A44"/>
    <w:lvl w:ilvl="0" w:tplc="4D90F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17101"/>
    <w:multiLevelType w:val="hybridMultilevel"/>
    <w:tmpl w:val="D6E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92762"/>
    <w:multiLevelType w:val="hybridMultilevel"/>
    <w:tmpl w:val="E76E09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A65110"/>
    <w:multiLevelType w:val="hybridMultilevel"/>
    <w:tmpl w:val="4E56CD3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69D2621B"/>
    <w:multiLevelType w:val="hybridMultilevel"/>
    <w:tmpl w:val="F722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D75D6"/>
    <w:multiLevelType w:val="hybridMultilevel"/>
    <w:tmpl w:val="D71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C2C93"/>
    <w:multiLevelType w:val="hybridMultilevel"/>
    <w:tmpl w:val="04DCABDC"/>
    <w:lvl w:ilvl="0" w:tplc="097646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95196"/>
    <w:multiLevelType w:val="hybridMultilevel"/>
    <w:tmpl w:val="579ED084"/>
    <w:lvl w:ilvl="0" w:tplc="097646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A6892"/>
    <w:multiLevelType w:val="hybridMultilevel"/>
    <w:tmpl w:val="F16C66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9E477DE"/>
    <w:multiLevelType w:val="hybridMultilevel"/>
    <w:tmpl w:val="BC08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FE0306"/>
    <w:multiLevelType w:val="hybridMultilevel"/>
    <w:tmpl w:val="77D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E531F"/>
    <w:multiLevelType w:val="hybridMultilevel"/>
    <w:tmpl w:val="DE82D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9F514A"/>
    <w:multiLevelType w:val="hybridMultilevel"/>
    <w:tmpl w:val="8D9A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943B0"/>
    <w:multiLevelType w:val="hybridMultilevel"/>
    <w:tmpl w:val="D292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14"/>
  </w:num>
  <w:num w:numId="4">
    <w:abstractNumId w:val="38"/>
  </w:num>
  <w:num w:numId="5">
    <w:abstractNumId w:val="15"/>
  </w:num>
  <w:num w:numId="6">
    <w:abstractNumId w:val="30"/>
  </w:num>
  <w:num w:numId="7">
    <w:abstractNumId w:val="26"/>
  </w:num>
  <w:num w:numId="8">
    <w:abstractNumId w:val="8"/>
  </w:num>
  <w:num w:numId="9">
    <w:abstractNumId w:val="36"/>
  </w:num>
  <w:num w:numId="10">
    <w:abstractNumId w:val="34"/>
  </w:num>
  <w:num w:numId="11">
    <w:abstractNumId w:val="0"/>
  </w:num>
  <w:num w:numId="12">
    <w:abstractNumId w:val="1"/>
  </w:num>
  <w:num w:numId="13">
    <w:abstractNumId w:val="11"/>
  </w:num>
  <w:num w:numId="14">
    <w:abstractNumId w:val="27"/>
  </w:num>
  <w:num w:numId="15">
    <w:abstractNumId w:val="2"/>
  </w:num>
  <w:num w:numId="16">
    <w:abstractNumId w:val="18"/>
  </w:num>
  <w:num w:numId="17">
    <w:abstractNumId w:val="12"/>
  </w:num>
  <w:num w:numId="18">
    <w:abstractNumId w:val="20"/>
  </w:num>
  <w:num w:numId="19">
    <w:abstractNumId w:val="21"/>
  </w:num>
  <w:num w:numId="20">
    <w:abstractNumId w:val="23"/>
  </w:num>
  <w:num w:numId="21">
    <w:abstractNumId w:val="25"/>
  </w:num>
  <w:num w:numId="22">
    <w:abstractNumId w:val="3"/>
  </w:num>
  <w:num w:numId="23">
    <w:abstractNumId w:val="6"/>
  </w:num>
  <w:num w:numId="24">
    <w:abstractNumId w:val="24"/>
  </w:num>
  <w:num w:numId="25">
    <w:abstractNumId w:val="19"/>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1"/>
  </w:num>
  <w:num w:numId="29">
    <w:abstractNumId w:val="32"/>
  </w:num>
  <w:num w:numId="30">
    <w:abstractNumId w:val="29"/>
  </w:num>
  <w:num w:numId="31">
    <w:abstractNumId w:val="22"/>
  </w:num>
  <w:num w:numId="32">
    <w:abstractNumId w:val="35"/>
  </w:num>
  <w:num w:numId="33">
    <w:abstractNumId w:val="10"/>
  </w:num>
  <w:num w:numId="34">
    <w:abstractNumId w:val="4"/>
  </w:num>
  <w:num w:numId="35">
    <w:abstractNumId w:val="28"/>
  </w:num>
  <w:num w:numId="36">
    <w:abstractNumId w:val="16"/>
  </w:num>
  <w:num w:numId="37">
    <w:abstractNumId w:val="28"/>
  </w:num>
  <w:num w:numId="38">
    <w:abstractNumId w:val="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7A"/>
    <w:rsid w:val="0000242E"/>
    <w:rsid w:val="00010348"/>
    <w:rsid w:val="00014DDF"/>
    <w:rsid w:val="000162DE"/>
    <w:rsid w:val="000163C2"/>
    <w:rsid w:val="00021697"/>
    <w:rsid w:val="000252B2"/>
    <w:rsid w:val="00025E62"/>
    <w:rsid w:val="000269A2"/>
    <w:rsid w:val="00030942"/>
    <w:rsid w:val="00030D29"/>
    <w:rsid w:val="00032EB2"/>
    <w:rsid w:val="00040F07"/>
    <w:rsid w:val="000519E6"/>
    <w:rsid w:val="0006218B"/>
    <w:rsid w:val="00062289"/>
    <w:rsid w:val="00062BB6"/>
    <w:rsid w:val="000762DE"/>
    <w:rsid w:val="00082C76"/>
    <w:rsid w:val="000871AB"/>
    <w:rsid w:val="0009383A"/>
    <w:rsid w:val="000948F2"/>
    <w:rsid w:val="0009604B"/>
    <w:rsid w:val="00096704"/>
    <w:rsid w:val="00097009"/>
    <w:rsid w:val="000A1178"/>
    <w:rsid w:val="000A19A2"/>
    <w:rsid w:val="000A5FDC"/>
    <w:rsid w:val="000B1175"/>
    <w:rsid w:val="000B2B78"/>
    <w:rsid w:val="000C2BC4"/>
    <w:rsid w:val="000C400A"/>
    <w:rsid w:val="000C75A0"/>
    <w:rsid w:val="000D34E0"/>
    <w:rsid w:val="000D61BC"/>
    <w:rsid w:val="000D6D66"/>
    <w:rsid w:val="000E3D40"/>
    <w:rsid w:val="000E5BCC"/>
    <w:rsid w:val="000E6698"/>
    <w:rsid w:val="000F2772"/>
    <w:rsid w:val="000F2F4C"/>
    <w:rsid w:val="000F3AEF"/>
    <w:rsid w:val="000F7C16"/>
    <w:rsid w:val="00104CBD"/>
    <w:rsid w:val="00113F7E"/>
    <w:rsid w:val="00120BF5"/>
    <w:rsid w:val="001219C5"/>
    <w:rsid w:val="001229ED"/>
    <w:rsid w:val="00126904"/>
    <w:rsid w:val="001377BD"/>
    <w:rsid w:val="00137D72"/>
    <w:rsid w:val="00140465"/>
    <w:rsid w:val="00145543"/>
    <w:rsid w:val="00147215"/>
    <w:rsid w:val="00150BB6"/>
    <w:rsid w:val="00151C62"/>
    <w:rsid w:val="001527E3"/>
    <w:rsid w:val="001649AA"/>
    <w:rsid w:val="00174734"/>
    <w:rsid w:val="0017594E"/>
    <w:rsid w:val="00183427"/>
    <w:rsid w:val="0018432E"/>
    <w:rsid w:val="0018602A"/>
    <w:rsid w:val="00187220"/>
    <w:rsid w:val="00190F30"/>
    <w:rsid w:val="00191273"/>
    <w:rsid w:val="00195E9E"/>
    <w:rsid w:val="001A4BA7"/>
    <w:rsid w:val="001A72B3"/>
    <w:rsid w:val="001A72FC"/>
    <w:rsid w:val="001A7916"/>
    <w:rsid w:val="001B2E51"/>
    <w:rsid w:val="001B60FA"/>
    <w:rsid w:val="001C0290"/>
    <w:rsid w:val="001C74C9"/>
    <w:rsid w:val="001D4A58"/>
    <w:rsid w:val="001D5576"/>
    <w:rsid w:val="001E29DE"/>
    <w:rsid w:val="001E44D8"/>
    <w:rsid w:val="001E5D34"/>
    <w:rsid w:val="001E6C6E"/>
    <w:rsid w:val="001E76DA"/>
    <w:rsid w:val="001F73C6"/>
    <w:rsid w:val="00202A50"/>
    <w:rsid w:val="00204428"/>
    <w:rsid w:val="00206542"/>
    <w:rsid w:val="00216F83"/>
    <w:rsid w:val="0022136E"/>
    <w:rsid w:val="00233E7A"/>
    <w:rsid w:val="00236745"/>
    <w:rsid w:val="00236A77"/>
    <w:rsid w:val="00242D86"/>
    <w:rsid w:val="0024341F"/>
    <w:rsid w:val="002448FF"/>
    <w:rsid w:val="00246294"/>
    <w:rsid w:val="00246974"/>
    <w:rsid w:val="00247260"/>
    <w:rsid w:val="0025040B"/>
    <w:rsid w:val="00254F72"/>
    <w:rsid w:val="00260B3D"/>
    <w:rsid w:val="00261536"/>
    <w:rsid w:val="00261CF9"/>
    <w:rsid w:val="00262E7D"/>
    <w:rsid w:val="0027117F"/>
    <w:rsid w:val="00272277"/>
    <w:rsid w:val="002727D4"/>
    <w:rsid w:val="002729ED"/>
    <w:rsid w:val="002730D2"/>
    <w:rsid w:val="00273EDE"/>
    <w:rsid w:val="00274DB8"/>
    <w:rsid w:val="0027736E"/>
    <w:rsid w:val="002826CC"/>
    <w:rsid w:val="002850F4"/>
    <w:rsid w:val="002854BC"/>
    <w:rsid w:val="00294E0E"/>
    <w:rsid w:val="002965A4"/>
    <w:rsid w:val="002A3780"/>
    <w:rsid w:val="002A4092"/>
    <w:rsid w:val="002A54A1"/>
    <w:rsid w:val="002A5BC4"/>
    <w:rsid w:val="002B1424"/>
    <w:rsid w:val="002B155B"/>
    <w:rsid w:val="002C47A5"/>
    <w:rsid w:val="002C5CFF"/>
    <w:rsid w:val="002D10E1"/>
    <w:rsid w:val="002D51AC"/>
    <w:rsid w:val="002D5DCE"/>
    <w:rsid w:val="002E03D1"/>
    <w:rsid w:val="002E2934"/>
    <w:rsid w:val="002E4AD0"/>
    <w:rsid w:val="002E632B"/>
    <w:rsid w:val="002F2914"/>
    <w:rsid w:val="002F50FE"/>
    <w:rsid w:val="00302113"/>
    <w:rsid w:val="00303D0A"/>
    <w:rsid w:val="00310796"/>
    <w:rsid w:val="003109E4"/>
    <w:rsid w:val="00310D7A"/>
    <w:rsid w:val="00312F6C"/>
    <w:rsid w:val="00327187"/>
    <w:rsid w:val="003366F7"/>
    <w:rsid w:val="003420A1"/>
    <w:rsid w:val="00342A07"/>
    <w:rsid w:val="00342CD1"/>
    <w:rsid w:val="00342D03"/>
    <w:rsid w:val="0034337E"/>
    <w:rsid w:val="00345062"/>
    <w:rsid w:val="00351252"/>
    <w:rsid w:val="003551F7"/>
    <w:rsid w:val="0035571D"/>
    <w:rsid w:val="00362078"/>
    <w:rsid w:val="00363745"/>
    <w:rsid w:val="00363A28"/>
    <w:rsid w:val="00364764"/>
    <w:rsid w:val="00366BD1"/>
    <w:rsid w:val="0037531D"/>
    <w:rsid w:val="003769B5"/>
    <w:rsid w:val="003804BD"/>
    <w:rsid w:val="003838C9"/>
    <w:rsid w:val="0038445F"/>
    <w:rsid w:val="00384DDC"/>
    <w:rsid w:val="0038779B"/>
    <w:rsid w:val="003A2F35"/>
    <w:rsid w:val="003B0366"/>
    <w:rsid w:val="003B37E0"/>
    <w:rsid w:val="003C0D26"/>
    <w:rsid w:val="003C22F6"/>
    <w:rsid w:val="003C26AA"/>
    <w:rsid w:val="003C40B6"/>
    <w:rsid w:val="003D0D79"/>
    <w:rsid w:val="003D0DBC"/>
    <w:rsid w:val="003D0F8D"/>
    <w:rsid w:val="003D5212"/>
    <w:rsid w:val="003E0083"/>
    <w:rsid w:val="003E1601"/>
    <w:rsid w:val="003F20BF"/>
    <w:rsid w:val="003F4726"/>
    <w:rsid w:val="003F7B36"/>
    <w:rsid w:val="00400BFA"/>
    <w:rsid w:val="00401A7A"/>
    <w:rsid w:val="00403B37"/>
    <w:rsid w:val="00405716"/>
    <w:rsid w:val="00415219"/>
    <w:rsid w:val="00421164"/>
    <w:rsid w:val="004269D0"/>
    <w:rsid w:val="00427FF8"/>
    <w:rsid w:val="00430F06"/>
    <w:rsid w:val="00430F63"/>
    <w:rsid w:val="00431292"/>
    <w:rsid w:val="0044240B"/>
    <w:rsid w:val="00444567"/>
    <w:rsid w:val="00453680"/>
    <w:rsid w:val="004555AF"/>
    <w:rsid w:val="00455953"/>
    <w:rsid w:val="004560E6"/>
    <w:rsid w:val="00462B9E"/>
    <w:rsid w:val="0046756E"/>
    <w:rsid w:val="00471F52"/>
    <w:rsid w:val="0047656A"/>
    <w:rsid w:val="00480D34"/>
    <w:rsid w:val="004815DF"/>
    <w:rsid w:val="00482D3F"/>
    <w:rsid w:val="0049268D"/>
    <w:rsid w:val="0049278C"/>
    <w:rsid w:val="00492F53"/>
    <w:rsid w:val="004960F8"/>
    <w:rsid w:val="004A53C4"/>
    <w:rsid w:val="004A6539"/>
    <w:rsid w:val="004A6AA3"/>
    <w:rsid w:val="004B0408"/>
    <w:rsid w:val="004B222B"/>
    <w:rsid w:val="004B4BEA"/>
    <w:rsid w:val="004B6A9E"/>
    <w:rsid w:val="004C16F2"/>
    <w:rsid w:val="004C2522"/>
    <w:rsid w:val="004C30C5"/>
    <w:rsid w:val="004C4322"/>
    <w:rsid w:val="004C5C6A"/>
    <w:rsid w:val="004D09B2"/>
    <w:rsid w:val="004D0A19"/>
    <w:rsid w:val="004D6EE6"/>
    <w:rsid w:val="004E6A94"/>
    <w:rsid w:val="004E73CD"/>
    <w:rsid w:val="004E7CC1"/>
    <w:rsid w:val="004F36D3"/>
    <w:rsid w:val="00505D41"/>
    <w:rsid w:val="005108CF"/>
    <w:rsid w:val="00514AD8"/>
    <w:rsid w:val="00515F37"/>
    <w:rsid w:val="00522B5A"/>
    <w:rsid w:val="00525B3B"/>
    <w:rsid w:val="00533DAB"/>
    <w:rsid w:val="0053660E"/>
    <w:rsid w:val="005414D6"/>
    <w:rsid w:val="005510FC"/>
    <w:rsid w:val="005569F3"/>
    <w:rsid w:val="005570EF"/>
    <w:rsid w:val="00565527"/>
    <w:rsid w:val="00570210"/>
    <w:rsid w:val="00570635"/>
    <w:rsid w:val="00587C5C"/>
    <w:rsid w:val="005927FA"/>
    <w:rsid w:val="00593747"/>
    <w:rsid w:val="00596694"/>
    <w:rsid w:val="00597FA3"/>
    <w:rsid w:val="005A79BD"/>
    <w:rsid w:val="005B0D74"/>
    <w:rsid w:val="005B1CD7"/>
    <w:rsid w:val="005B55F8"/>
    <w:rsid w:val="005C3A63"/>
    <w:rsid w:val="005D09E9"/>
    <w:rsid w:val="005D3FE4"/>
    <w:rsid w:val="005E0D79"/>
    <w:rsid w:val="005E24DF"/>
    <w:rsid w:val="005F3589"/>
    <w:rsid w:val="00602F14"/>
    <w:rsid w:val="00603745"/>
    <w:rsid w:val="006055E5"/>
    <w:rsid w:val="0061496A"/>
    <w:rsid w:val="006175C4"/>
    <w:rsid w:val="00625FF6"/>
    <w:rsid w:val="00627160"/>
    <w:rsid w:val="00632347"/>
    <w:rsid w:val="006335A7"/>
    <w:rsid w:val="00634054"/>
    <w:rsid w:val="006457A6"/>
    <w:rsid w:val="0064664E"/>
    <w:rsid w:val="006466CC"/>
    <w:rsid w:val="00647097"/>
    <w:rsid w:val="00655774"/>
    <w:rsid w:val="00663F30"/>
    <w:rsid w:val="006716A9"/>
    <w:rsid w:val="006A4A19"/>
    <w:rsid w:val="006A5580"/>
    <w:rsid w:val="006C3AE7"/>
    <w:rsid w:val="006D42F0"/>
    <w:rsid w:val="006D6B43"/>
    <w:rsid w:val="006D7A82"/>
    <w:rsid w:val="006F18AF"/>
    <w:rsid w:val="006F3815"/>
    <w:rsid w:val="007000E5"/>
    <w:rsid w:val="00701395"/>
    <w:rsid w:val="00704AAB"/>
    <w:rsid w:val="00711E94"/>
    <w:rsid w:val="00713CFE"/>
    <w:rsid w:val="00724174"/>
    <w:rsid w:val="00735813"/>
    <w:rsid w:val="00745A12"/>
    <w:rsid w:val="00745E69"/>
    <w:rsid w:val="00746473"/>
    <w:rsid w:val="00751605"/>
    <w:rsid w:val="00755181"/>
    <w:rsid w:val="00762B55"/>
    <w:rsid w:val="007653FC"/>
    <w:rsid w:val="00767EAC"/>
    <w:rsid w:val="0077349D"/>
    <w:rsid w:val="007803F7"/>
    <w:rsid w:val="00786404"/>
    <w:rsid w:val="0078722B"/>
    <w:rsid w:val="00791060"/>
    <w:rsid w:val="0079719B"/>
    <w:rsid w:val="007A1DCD"/>
    <w:rsid w:val="007A25AD"/>
    <w:rsid w:val="007A55F2"/>
    <w:rsid w:val="007A7001"/>
    <w:rsid w:val="007A75D2"/>
    <w:rsid w:val="007B0053"/>
    <w:rsid w:val="007B1138"/>
    <w:rsid w:val="007B45B9"/>
    <w:rsid w:val="007C01EE"/>
    <w:rsid w:val="007C40DC"/>
    <w:rsid w:val="007C7E2F"/>
    <w:rsid w:val="007D0BDB"/>
    <w:rsid w:val="007D0E68"/>
    <w:rsid w:val="007D1286"/>
    <w:rsid w:val="007E34F8"/>
    <w:rsid w:val="007F5A9B"/>
    <w:rsid w:val="00802035"/>
    <w:rsid w:val="00812D79"/>
    <w:rsid w:val="00817EB2"/>
    <w:rsid w:val="0082094D"/>
    <w:rsid w:val="00821693"/>
    <w:rsid w:val="00826D99"/>
    <w:rsid w:val="00826E9D"/>
    <w:rsid w:val="00827C88"/>
    <w:rsid w:val="00830642"/>
    <w:rsid w:val="008322BA"/>
    <w:rsid w:val="00833CDB"/>
    <w:rsid w:val="00840ACB"/>
    <w:rsid w:val="00847EE0"/>
    <w:rsid w:val="00853341"/>
    <w:rsid w:val="00860A8D"/>
    <w:rsid w:val="00860EFB"/>
    <w:rsid w:val="00874061"/>
    <w:rsid w:val="00877AE9"/>
    <w:rsid w:val="0088162C"/>
    <w:rsid w:val="0088196B"/>
    <w:rsid w:val="00881A12"/>
    <w:rsid w:val="00881FBC"/>
    <w:rsid w:val="00882FB3"/>
    <w:rsid w:val="00885A39"/>
    <w:rsid w:val="00886A7F"/>
    <w:rsid w:val="00887416"/>
    <w:rsid w:val="0088790E"/>
    <w:rsid w:val="008A2AAA"/>
    <w:rsid w:val="008A36B8"/>
    <w:rsid w:val="008C033A"/>
    <w:rsid w:val="008C1A31"/>
    <w:rsid w:val="008C64A0"/>
    <w:rsid w:val="008D14E3"/>
    <w:rsid w:val="008D1DF9"/>
    <w:rsid w:val="008E4867"/>
    <w:rsid w:val="008E7113"/>
    <w:rsid w:val="008F047E"/>
    <w:rsid w:val="008F5671"/>
    <w:rsid w:val="009008E9"/>
    <w:rsid w:val="0090102B"/>
    <w:rsid w:val="00914A11"/>
    <w:rsid w:val="00921375"/>
    <w:rsid w:val="00923D73"/>
    <w:rsid w:val="00927DCC"/>
    <w:rsid w:val="0093190E"/>
    <w:rsid w:val="009343F3"/>
    <w:rsid w:val="00937FEB"/>
    <w:rsid w:val="00942D66"/>
    <w:rsid w:val="00946DB4"/>
    <w:rsid w:val="00950426"/>
    <w:rsid w:val="009566AE"/>
    <w:rsid w:val="00965BF2"/>
    <w:rsid w:val="00967030"/>
    <w:rsid w:val="00977CB6"/>
    <w:rsid w:val="00981B95"/>
    <w:rsid w:val="00985F45"/>
    <w:rsid w:val="00991843"/>
    <w:rsid w:val="00993EFB"/>
    <w:rsid w:val="009945D6"/>
    <w:rsid w:val="0099713D"/>
    <w:rsid w:val="009A0088"/>
    <w:rsid w:val="009A640C"/>
    <w:rsid w:val="009B2692"/>
    <w:rsid w:val="009B2840"/>
    <w:rsid w:val="009B3F4D"/>
    <w:rsid w:val="009B3FCB"/>
    <w:rsid w:val="009B7A79"/>
    <w:rsid w:val="009C108B"/>
    <w:rsid w:val="009C1B11"/>
    <w:rsid w:val="009C764B"/>
    <w:rsid w:val="009C795F"/>
    <w:rsid w:val="009C7A77"/>
    <w:rsid w:val="009D0E93"/>
    <w:rsid w:val="009D12E0"/>
    <w:rsid w:val="009E350A"/>
    <w:rsid w:val="009E4D42"/>
    <w:rsid w:val="009E5D3E"/>
    <w:rsid w:val="009F22D6"/>
    <w:rsid w:val="009F545D"/>
    <w:rsid w:val="009F59A4"/>
    <w:rsid w:val="009F7D1F"/>
    <w:rsid w:val="00A00DBC"/>
    <w:rsid w:val="00A018AE"/>
    <w:rsid w:val="00A04FA1"/>
    <w:rsid w:val="00A0507F"/>
    <w:rsid w:val="00A1014B"/>
    <w:rsid w:val="00A15BD9"/>
    <w:rsid w:val="00A26BD0"/>
    <w:rsid w:val="00A302F6"/>
    <w:rsid w:val="00A3157C"/>
    <w:rsid w:val="00A32DA3"/>
    <w:rsid w:val="00A43AC0"/>
    <w:rsid w:val="00A47767"/>
    <w:rsid w:val="00A53F08"/>
    <w:rsid w:val="00A60F2E"/>
    <w:rsid w:val="00A6461F"/>
    <w:rsid w:val="00A73CF1"/>
    <w:rsid w:val="00A74484"/>
    <w:rsid w:val="00A80136"/>
    <w:rsid w:val="00A85BAA"/>
    <w:rsid w:val="00A861A9"/>
    <w:rsid w:val="00A86C7A"/>
    <w:rsid w:val="00A91B9E"/>
    <w:rsid w:val="00A923DE"/>
    <w:rsid w:val="00A92B22"/>
    <w:rsid w:val="00AA1A23"/>
    <w:rsid w:val="00AA3393"/>
    <w:rsid w:val="00AA75CE"/>
    <w:rsid w:val="00AB0487"/>
    <w:rsid w:val="00AB2017"/>
    <w:rsid w:val="00AC2DC1"/>
    <w:rsid w:val="00AD6B2F"/>
    <w:rsid w:val="00AE0748"/>
    <w:rsid w:val="00AE3ECE"/>
    <w:rsid w:val="00AF246F"/>
    <w:rsid w:val="00AF5F1D"/>
    <w:rsid w:val="00B00A0B"/>
    <w:rsid w:val="00B03E37"/>
    <w:rsid w:val="00B06753"/>
    <w:rsid w:val="00B15CC4"/>
    <w:rsid w:val="00B164BE"/>
    <w:rsid w:val="00B45257"/>
    <w:rsid w:val="00B47F9B"/>
    <w:rsid w:val="00B5049B"/>
    <w:rsid w:val="00B507E8"/>
    <w:rsid w:val="00B54785"/>
    <w:rsid w:val="00B55565"/>
    <w:rsid w:val="00B60F20"/>
    <w:rsid w:val="00B6119C"/>
    <w:rsid w:val="00B61BF3"/>
    <w:rsid w:val="00B62DF3"/>
    <w:rsid w:val="00B66A05"/>
    <w:rsid w:val="00B67200"/>
    <w:rsid w:val="00B70FDF"/>
    <w:rsid w:val="00B7369C"/>
    <w:rsid w:val="00B8253A"/>
    <w:rsid w:val="00B93A6A"/>
    <w:rsid w:val="00B966BF"/>
    <w:rsid w:val="00B969A5"/>
    <w:rsid w:val="00BA01DB"/>
    <w:rsid w:val="00BA0A45"/>
    <w:rsid w:val="00BA4508"/>
    <w:rsid w:val="00BA67E4"/>
    <w:rsid w:val="00BB0386"/>
    <w:rsid w:val="00BB4819"/>
    <w:rsid w:val="00BB7971"/>
    <w:rsid w:val="00BD7636"/>
    <w:rsid w:val="00BE1CA2"/>
    <w:rsid w:val="00BE3A01"/>
    <w:rsid w:val="00BE3EDD"/>
    <w:rsid w:val="00BE5C3C"/>
    <w:rsid w:val="00BF7CAB"/>
    <w:rsid w:val="00C01A8D"/>
    <w:rsid w:val="00C02F0B"/>
    <w:rsid w:val="00C05B8E"/>
    <w:rsid w:val="00C060E1"/>
    <w:rsid w:val="00C12B96"/>
    <w:rsid w:val="00C152A4"/>
    <w:rsid w:val="00C374D1"/>
    <w:rsid w:val="00C5302F"/>
    <w:rsid w:val="00C53A01"/>
    <w:rsid w:val="00C5659E"/>
    <w:rsid w:val="00C60633"/>
    <w:rsid w:val="00C62CAB"/>
    <w:rsid w:val="00C66966"/>
    <w:rsid w:val="00C72B56"/>
    <w:rsid w:val="00C7431A"/>
    <w:rsid w:val="00C85138"/>
    <w:rsid w:val="00C86B25"/>
    <w:rsid w:val="00C86E2D"/>
    <w:rsid w:val="00C926E1"/>
    <w:rsid w:val="00C95FE2"/>
    <w:rsid w:val="00CA1362"/>
    <w:rsid w:val="00CA294C"/>
    <w:rsid w:val="00CA795E"/>
    <w:rsid w:val="00CC3912"/>
    <w:rsid w:val="00CD2E15"/>
    <w:rsid w:val="00CD6ED4"/>
    <w:rsid w:val="00CD784E"/>
    <w:rsid w:val="00CE112A"/>
    <w:rsid w:val="00CE27B1"/>
    <w:rsid w:val="00CF3969"/>
    <w:rsid w:val="00CF6349"/>
    <w:rsid w:val="00CF7D13"/>
    <w:rsid w:val="00D01642"/>
    <w:rsid w:val="00D04037"/>
    <w:rsid w:val="00D04B3C"/>
    <w:rsid w:val="00D06814"/>
    <w:rsid w:val="00D078B7"/>
    <w:rsid w:val="00D16A78"/>
    <w:rsid w:val="00D21F20"/>
    <w:rsid w:val="00D243B2"/>
    <w:rsid w:val="00D31AC9"/>
    <w:rsid w:val="00D35A3F"/>
    <w:rsid w:val="00D4326C"/>
    <w:rsid w:val="00D436DE"/>
    <w:rsid w:val="00D44913"/>
    <w:rsid w:val="00D506D3"/>
    <w:rsid w:val="00D51D72"/>
    <w:rsid w:val="00D54D61"/>
    <w:rsid w:val="00D6155D"/>
    <w:rsid w:val="00D65FF6"/>
    <w:rsid w:val="00D7527D"/>
    <w:rsid w:val="00D80305"/>
    <w:rsid w:val="00D8258D"/>
    <w:rsid w:val="00D8436F"/>
    <w:rsid w:val="00D84BA2"/>
    <w:rsid w:val="00D87A58"/>
    <w:rsid w:val="00D900C3"/>
    <w:rsid w:val="00D96532"/>
    <w:rsid w:val="00DA2BA5"/>
    <w:rsid w:val="00DA4573"/>
    <w:rsid w:val="00DA5BAB"/>
    <w:rsid w:val="00DA62D3"/>
    <w:rsid w:val="00DB201C"/>
    <w:rsid w:val="00DC20AF"/>
    <w:rsid w:val="00DC46C0"/>
    <w:rsid w:val="00DC674C"/>
    <w:rsid w:val="00DD1852"/>
    <w:rsid w:val="00DD1E2B"/>
    <w:rsid w:val="00DE0DF5"/>
    <w:rsid w:val="00DE1485"/>
    <w:rsid w:val="00DE7F5B"/>
    <w:rsid w:val="00DF09E3"/>
    <w:rsid w:val="00DF3254"/>
    <w:rsid w:val="00E0023C"/>
    <w:rsid w:val="00E01CF2"/>
    <w:rsid w:val="00E15666"/>
    <w:rsid w:val="00E21611"/>
    <w:rsid w:val="00E25F3B"/>
    <w:rsid w:val="00E30571"/>
    <w:rsid w:val="00E35A13"/>
    <w:rsid w:val="00E42FD9"/>
    <w:rsid w:val="00E479B3"/>
    <w:rsid w:val="00E61837"/>
    <w:rsid w:val="00E63957"/>
    <w:rsid w:val="00E7095F"/>
    <w:rsid w:val="00E71199"/>
    <w:rsid w:val="00E73362"/>
    <w:rsid w:val="00E75327"/>
    <w:rsid w:val="00E76B35"/>
    <w:rsid w:val="00E77D1B"/>
    <w:rsid w:val="00E8267A"/>
    <w:rsid w:val="00E83B0B"/>
    <w:rsid w:val="00E86D63"/>
    <w:rsid w:val="00E86F2A"/>
    <w:rsid w:val="00E92E2D"/>
    <w:rsid w:val="00E94D84"/>
    <w:rsid w:val="00E96621"/>
    <w:rsid w:val="00EA2997"/>
    <w:rsid w:val="00EC0355"/>
    <w:rsid w:val="00ED1094"/>
    <w:rsid w:val="00ED1CCD"/>
    <w:rsid w:val="00EE2AD0"/>
    <w:rsid w:val="00EE401B"/>
    <w:rsid w:val="00F01018"/>
    <w:rsid w:val="00F1247A"/>
    <w:rsid w:val="00F2472C"/>
    <w:rsid w:val="00F373B6"/>
    <w:rsid w:val="00F47C4B"/>
    <w:rsid w:val="00F50414"/>
    <w:rsid w:val="00F51D22"/>
    <w:rsid w:val="00F5393B"/>
    <w:rsid w:val="00F55831"/>
    <w:rsid w:val="00F661E4"/>
    <w:rsid w:val="00F705AB"/>
    <w:rsid w:val="00F70FDA"/>
    <w:rsid w:val="00F7323F"/>
    <w:rsid w:val="00F737A2"/>
    <w:rsid w:val="00F82038"/>
    <w:rsid w:val="00F8457B"/>
    <w:rsid w:val="00F943D9"/>
    <w:rsid w:val="00F955E1"/>
    <w:rsid w:val="00FA1C61"/>
    <w:rsid w:val="00FA4B9D"/>
    <w:rsid w:val="00FA5847"/>
    <w:rsid w:val="00FB7C85"/>
    <w:rsid w:val="00FC193E"/>
    <w:rsid w:val="00FC1B51"/>
    <w:rsid w:val="00FC4850"/>
    <w:rsid w:val="00FC6EB4"/>
    <w:rsid w:val="00FD02F1"/>
    <w:rsid w:val="00FE1397"/>
    <w:rsid w:val="00FE3569"/>
    <w:rsid w:val="00FE3FB1"/>
    <w:rsid w:val="00FE5B9B"/>
    <w:rsid w:val="00FE7030"/>
    <w:rsid w:val="00FF32B7"/>
    <w:rsid w:val="00FF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39714"/>
  <w15:docId w15:val="{9FB90DEF-56A6-4C3A-A67B-960BF5DC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05"/>
    <w:rPr>
      <w:rFonts w:ascii="Arial" w:hAnsi="Arial"/>
      <w:szCs w:val="24"/>
    </w:rPr>
  </w:style>
  <w:style w:type="paragraph" w:styleId="Heading1">
    <w:name w:val="heading 1"/>
    <w:basedOn w:val="Normal"/>
    <w:next w:val="Normal"/>
    <w:link w:val="Heading1Char"/>
    <w:uiPriority w:val="9"/>
    <w:qFormat/>
    <w:rsid w:val="00514AD8"/>
    <w:pPr>
      <w:keepNext/>
      <w:keepLines/>
      <w:numPr>
        <w:numId w:val="8"/>
      </w:numPr>
      <w:outlineLvl w:val="0"/>
    </w:pPr>
    <w:rPr>
      <w:rFonts w:ascii="Futura Bk BT" w:eastAsiaTheme="majorEastAsia" w:hAnsi="Futura Bk BT" w:cstheme="majorBidi"/>
      <w:b/>
      <w:bCs/>
      <w:caps/>
      <w:color w:val="1F497D" w:themeColor="text2"/>
      <w:spacing w:val="4"/>
      <w:sz w:val="24"/>
      <w:szCs w:val="26"/>
    </w:rPr>
  </w:style>
  <w:style w:type="paragraph" w:styleId="Heading2">
    <w:name w:val="heading 2"/>
    <w:basedOn w:val="Normal"/>
    <w:next w:val="Normal"/>
    <w:link w:val="Heading2Char"/>
    <w:uiPriority w:val="9"/>
    <w:unhideWhenUsed/>
    <w:qFormat/>
    <w:rsid w:val="00D80305"/>
    <w:pPr>
      <w:keepNext/>
      <w:keepLines/>
      <w:numPr>
        <w:ilvl w:val="1"/>
        <w:numId w:val="8"/>
      </w:numPr>
      <w:outlineLvl w:val="1"/>
    </w:pPr>
    <w:rPr>
      <w:rFonts w:ascii="Futura Bk BT" w:eastAsiaTheme="majorEastAsia" w:hAnsi="Futura Bk BT" w:cstheme="majorBidi"/>
      <w:b/>
      <w:bCs/>
      <w:color w:val="4F81BD" w:themeColor="accent1"/>
      <w:sz w:val="24"/>
    </w:rPr>
  </w:style>
  <w:style w:type="paragraph" w:styleId="Heading3">
    <w:name w:val="heading 3"/>
    <w:basedOn w:val="Normal"/>
    <w:next w:val="Normal"/>
    <w:link w:val="Heading3Char"/>
    <w:uiPriority w:val="9"/>
    <w:unhideWhenUsed/>
    <w:qFormat/>
    <w:rsid w:val="00D80305"/>
    <w:pPr>
      <w:keepNext/>
      <w:keepLines/>
      <w:numPr>
        <w:ilvl w:val="2"/>
        <w:numId w:val="8"/>
      </w:numPr>
      <w:spacing w:after="120"/>
      <w:outlineLvl w:val="2"/>
    </w:pPr>
    <w:rPr>
      <w:rFonts w:eastAsiaTheme="majorEastAsia" w:cstheme="majorBidi"/>
      <w:bCs/>
      <w:u w:val="single"/>
    </w:rPr>
  </w:style>
  <w:style w:type="paragraph" w:styleId="Heading4">
    <w:name w:val="heading 4"/>
    <w:basedOn w:val="Normal"/>
    <w:next w:val="Normal"/>
    <w:link w:val="Heading4Char"/>
    <w:uiPriority w:val="9"/>
    <w:semiHidden/>
    <w:unhideWhenUsed/>
    <w:qFormat/>
    <w:rsid w:val="00405716"/>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5716"/>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5716"/>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5716"/>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5716"/>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5716"/>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3CD"/>
    <w:pPr>
      <w:ind w:left="720"/>
      <w:contextualSpacing/>
    </w:pPr>
  </w:style>
  <w:style w:type="paragraph" w:styleId="BodyText">
    <w:name w:val="Body Text"/>
    <w:basedOn w:val="Normal"/>
    <w:link w:val="BodyTextChar"/>
    <w:rsid w:val="00405716"/>
    <w:pPr>
      <w:tabs>
        <w:tab w:val="left" w:pos="-720"/>
      </w:tabs>
      <w:suppressAutoHyphens/>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0571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4AD8"/>
    <w:rPr>
      <w:rFonts w:ascii="Futura Bk BT" w:eastAsiaTheme="majorEastAsia" w:hAnsi="Futura Bk BT" w:cstheme="majorBidi"/>
      <w:b/>
      <w:bCs/>
      <w:caps/>
      <w:color w:val="1F497D" w:themeColor="text2"/>
      <w:spacing w:val="4"/>
      <w:sz w:val="24"/>
      <w:szCs w:val="26"/>
    </w:rPr>
  </w:style>
  <w:style w:type="character" w:customStyle="1" w:styleId="Heading2Char">
    <w:name w:val="Heading 2 Char"/>
    <w:basedOn w:val="DefaultParagraphFont"/>
    <w:link w:val="Heading2"/>
    <w:uiPriority w:val="9"/>
    <w:rsid w:val="00D80305"/>
    <w:rPr>
      <w:rFonts w:ascii="Futura Bk BT" w:eastAsiaTheme="majorEastAsia" w:hAnsi="Futura Bk BT" w:cstheme="majorBidi"/>
      <w:b/>
      <w:bCs/>
      <w:color w:val="4F81BD" w:themeColor="accent1"/>
      <w:sz w:val="24"/>
      <w:szCs w:val="24"/>
    </w:rPr>
  </w:style>
  <w:style w:type="character" w:customStyle="1" w:styleId="Heading3Char">
    <w:name w:val="Heading 3 Char"/>
    <w:basedOn w:val="DefaultParagraphFont"/>
    <w:link w:val="Heading3"/>
    <w:uiPriority w:val="9"/>
    <w:rsid w:val="00D80305"/>
    <w:rPr>
      <w:rFonts w:ascii="Arial" w:eastAsiaTheme="majorEastAsia" w:hAnsi="Arial" w:cstheme="majorBidi"/>
      <w:bCs/>
      <w:szCs w:val="24"/>
      <w:u w:val="single"/>
    </w:rPr>
  </w:style>
  <w:style w:type="character" w:customStyle="1" w:styleId="Heading4Char">
    <w:name w:val="Heading 4 Char"/>
    <w:basedOn w:val="DefaultParagraphFont"/>
    <w:link w:val="Heading4"/>
    <w:uiPriority w:val="9"/>
    <w:semiHidden/>
    <w:rsid w:val="0040571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40571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0571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0571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057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571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80305"/>
    <w:pPr>
      <w:pBdr>
        <w:bottom w:val="single" w:sz="8" w:space="4" w:color="4F81BD" w:themeColor="accent1"/>
      </w:pBdr>
      <w:spacing w:after="300" w:line="240" w:lineRule="auto"/>
      <w:contextualSpacing/>
    </w:pPr>
    <w:rPr>
      <w:rFonts w:ascii="Futura Bk BT" w:eastAsiaTheme="majorEastAsia" w:hAnsi="Futura Bk BT"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D80305"/>
    <w:rPr>
      <w:rFonts w:ascii="Futura Bk BT" w:eastAsiaTheme="majorEastAsia" w:hAnsi="Futura Bk BT" w:cstheme="majorBidi"/>
      <w:color w:val="17365D" w:themeColor="text2" w:themeShade="BF"/>
      <w:spacing w:val="5"/>
      <w:kern w:val="28"/>
      <w:sz w:val="28"/>
      <w:szCs w:val="52"/>
    </w:rPr>
  </w:style>
  <w:style w:type="paragraph" w:styleId="Subtitle">
    <w:name w:val="Subtitle"/>
    <w:basedOn w:val="Normal"/>
    <w:next w:val="Normal"/>
    <w:link w:val="SubtitleChar"/>
    <w:uiPriority w:val="11"/>
    <w:qFormat/>
    <w:rsid w:val="00D80305"/>
    <w:pPr>
      <w:numPr>
        <w:ilvl w:val="1"/>
      </w:numPr>
      <w:jc w:val="center"/>
    </w:pPr>
    <w:rPr>
      <w:rFonts w:eastAsiaTheme="majorEastAsia" w:cstheme="majorBidi"/>
      <w:iCs/>
    </w:rPr>
  </w:style>
  <w:style w:type="character" w:customStyle="1" w:styleId="SubtitleChar">
    <w:name w:val="Subtitle Char"/>
    <w:basedOn w:val="DefaultParagraphFont"/>
    <w:link w:val="Subtitle"/>
    <w:uiPriority w:val="11"/>
    <w:rsid w:val="00D80305"/>
    <w:rPr>
      <w:rFonts w:ascii="Arial" w:eastAsiaTheme="majorEastAsia" w:hAnsi="Arial" w:cstheme="majorBidi"/>
      <w:iCs/>
      <w:szCs w:val="24"/>
    </w:rPr>
  </w:style>
  <w:style w:type="paragraph" w:styleId="BalloonText">
    <w:name w:val="Balloon Text"/>
    <w:basedOn w:val="Normal"/>
    <w:link w:val="BalloonTextChar"/>
    <w:uiPriority w:val="99"/>
    <w:semiHidden/>
    <w:unhideWhenUsed/>
    <w:rsid w:val="00E0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F2"/>
    <w:rPr>
      <w:rFonts w:ascii="Tahoma" w:hAnsi="Tahoma" w:cs="Tahoma"/>
      <w:sz w:val="16"/>
      <w:szCs w:val="16"/>
    </w:rPr>
  </w:style>
  <w:style w:type="paragraph" w:styleId="NoSpacing">
    <w:name w:val="No Spacing"/>
    <w:uiPriority w:val="1"/>
    <w:qFormat/>
    <w:rsid w:val="00514AD8"/>
    <w:pPr>
      <w:spacing w:after="0" w:line="264" w:lineRule="auto"/>
    </w:pPr>
    <w:rPr>
      <w:rFonts w:ascii="Arial" w:hAnsi="Arial"/>
      <w:szCs w:val="24"/>
    </w:rPr>
  </w:style>
  <w:style w:type="paragraph" w:styleId="TOCHeading">
    <w:name w:val="TOC Heading"/>
    <w:basedOn w:val="Heading1"/>
    <w:next w:val="Normal"/>
    <w:uiPriority w:val="39"/>
    <w:unhideWhenUsed/>
    <w:qFormat/>
    <w:rsid w:val="00B61BF3"/>
    <w:pPr>
      <w:numPr>
        <w:numId w:val="0"/>
      </w:numPr>
      <w:spacing w:before="480" w:after="0"/>
      <w:outlineLvl w:val="9"/>
    </w:pPr>
    <w:rPr>
      <w:caps w:val="0"/>
      <w:color w:val="365F91" w:themeColor="accent1" w:themeShade="BF"/>
      <w:sz w:val="28"/>
      <w:szCs w:val="28"/>
    </w:rPr>
  </w:style>
  <w:style w:type="paragraph" w:styleId="TOC1">
    <w:name w:val="toc 1"/>
    <w:basedOn w:val="Normal"/>
    <w:next w:val="Normal"/>
    <w:autoRedefine/>
    <w:uiPriority w:val="39"/>
    <w:unhideWhenUsed/>
    <w:rsid w:val="00D80305"/>
    <w:pPr>
      <w:tabs>
        <w:tab w:val="left" w:pos="540"/>
        <w:tab w:val="right" w:leader="dot" w:pos="9350"/>
      </w:tabs>
      <w:spacing w:after="100"/>
    </w:pPr>
    <w:rPr>
      <w:rFonts w:ascii="Futura Lt BT" w:hAnsi="Futura Lt BT"/>
      <w:b/>
      <w:noProof/>
    </w:rPr>
  </w:style>
  <w:style w:type="paragraph" w:styleId="TOC2">
    <w:name w:val="toc 2"/>
    <w:basedOn w:val="Normal"/>
    <w:next w:val="Normal"/>
    <w:autoRedefine/>
    <w:uiPriority w:val="39"/>
    <w:unhideWhenUsed/>
    <w:rsid w:val="0027117F"/>
    <w:pPr>
      <w:tabs>
        <w:tab w:val="left" w:pos="1080"/>
        <w:tab w:val="right" w:leader="dot" w:pos="9350"/>
      </w:tabs>
      <w:spacing w:after="100"/>
      <w:ind w:left="540"/>
    </w:pPr>
  </w:style>
  <w:style w:type="character" w:styleId="Hyperlink">
    <w:name w:val="Hyperlink"/>
    <w:basedOn w:val="DefaultParagraphFont"/>
    <w:uiPriority w:val="99"/>
    <w:unhideWhenUsed/>
    <w:rsid w:val="00B61BF3"/>
    <w:rPr>
      <w:color w:val="0000FF" w:themeColor="hyperlink"/>
      <w:u w:val="single"/>
    </w:rPr>
  </w:style>
  <w:style w:type="paragraph" w:styleId="Header">
    <w:name w:val="header"/>
    <w:basedOn w:val="Normal"/>
    <w:link w:val="HeaderChar"/>
    <w:unhideWhenUsed/>
    <w:rsid w:val="00B61BF3"/>
    <w:pPr>
      <w:tabs>
        <w:tab w:val="center" w:pos="4680"/>
        <w:tab w:val="right" w:pos="9360"/>
      </w:tabs>
      <w:spacing w:after="0" w:line="240" w:lineRule="auto"/>
    </w:pPr>
  </w:style>
  <w:style w:type="character" w:customStyle="1" w:styleId="HeaderChar">
    <w:name w:val="Header Char"/>
    <w:basedOn w:val="DefaultParagraphFont"/>
    <w:link w:val="Header"/>
    <w:rsid w:val="00B61BF3"/>
    <w:rPr>
      <w:sz w:val="24"/>
      <w:szCs w:val="24"/>
    </w:rPr>
  </w:style>
  <w:style w:type="paragraph" w:styleId="Footer">
    <w:name w:val="footer"/>
    <w:basedOn w:val="Normal"/>
    <w:link w:val="FooterChar"/>
    <w:uiPriority w:val="99"/>
    <w:unhideWhenUsed/>
    <w:rsid w:val="00B6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BF3"/>
    <w:rPr>
      <w:sz w:val="24"/>
      <w:szCs w:val="24"/>
    </w:rPr>
  </w:style>
  <w:style w:type="character" w:styleId="CommentReference">
    <w:name w:val="annotation reference"/>
    <w:basedOn w:val="DefaultParagraphFont"/>
    <w:uiPriority w:val="99"/>
    <w:semiHidden/>
    <w:unhideWhenUsed/>
    <w:rsid w:val="002C47A5"/>
    <w:rPr>
      <w:sz w:val="16"/>
      <w:szCs w:val="16"/>
    </w:rPr>
  </w:style>
  <w:style w:type="paragraph" w:styleId="CommentText">
    <w:name w:val="annotation text"/>
    <w:basedOn w:val="Normal"/>
    <w:link w:val="CommentTextChar"/>
    <w:uiPriority w:val="99"/>
    <w:unhideWhenUsed/>
    <w:rsid w:val="002C47A5"/>
    <w:pPr>
      <w:spacing w:line="240" w:lineRule="auto"/>
    </w:pPr>
    <w:rPr>
      <w:sz w:val="20"/>
      <w:szCs w:val="20"/>
    </w:rPr>
  </w:style>
  <w:style w:type="character" w:customStyle="1" w:styleId="CommentTextChar">
    <w:name w:val="Comment Text Char"/>
    <w:basedOn w:val="DefaultParagraphFont"/>
    <w:link w:val="CommentText"/>
    <w:uiPriority w:val="99"/>
    <w:rsid w:val="002C47A5"/>
    <w:rPr>
      <w:sz w:val="20"/>
      <w:szCs w:val="20"/>
    </w:rPr>
  </w:style>
  <w:style w:type="paragraph" w:styleId="CommentSubject">
    <w:name w:val="annotation subject"/>
    <w:basedOn w:val="CommentText"/>
    <w:next w:val="CommentText"/>
    <w:link w:val="CommentSubjectChar"/>
    <w:uiPriority w:val="99"/>
    <w:semiHidden/>
    <w:unhideWhenUsed/>
    <w:rsid w:val="002C47A5"/>
    <w:rPr>
      <w:b/>
      <w:bCs/>
    </w:rPr>
  </w:style>
  <w:style w:type="character" w:customStyle="1" w:styleId="CommentSubjectChar">
    <w:name w:val="Comment Subject Char"/>
    <w:basedOn w:val="CommentTextChar"/>
    <w:link w:val="CommentSubject"/>
    <w:uiPriority w:val="99"/>
    <w:semiHidden/>
    <w:rsid w:val="002C47A5"/>
    <w:rPr>
      <w:b/>
      <w:bCs/>
      <w:sz w:val="20"/>
      <w:szCs w:val="20"/>
    </w:rPr>
  </w:style>
  <w:style w:type="paragraph" w:styleId="TOC3">
    <w:name w:val="toc 3"/>
    <w:basedOn w:val="Normal"/>
    <w:next w:val="Normal"/>
    <w:autoRedefine/>
    <w:uiPriority w:val="39"/>
    <w:unhideWhenUsed/>
    <w:rsid w:val="00ED1094"/>
    <w:pPr>
      <w:tabs>
        <w:tab w:val="left" w:pos="1800"/>
        <w:tab w:val="right" w:leader="dot" w:pos="9350"/>
      </w:tabs>
      <w:spacing w:after="100"/>
      <w:ind w:left="1080"/>
    </w:pPr>
  </w:style>
  <w:style w:type="paragraph" w:styleId="DocumentMap">
    <w:name w:val="Document Map"/>
    <w:basedOn w:val="Normal"/>
    <w:link w:val="DocumentMapChar"/>
    <w:uiPriority w:val="99"/>
    <w:semiHidden/>
    <w:unhideWhenUsed/>
    <w:rsid w:val="001E6C6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6C6E"/>
    <w:rPr>
      <w:rFonts w:ascii="Tahoma" w:hAnsi="Tahoma" w:cs="Tahoma"/>
      <w:sz w:val="16"/>
      <w:szCs w:val="16"/>
    </w:rPr>
  </w:style>
  <w:style w:type="paragraph" w:styleId="FootnoteText">
    <w:name w:val="footnote text"/>
    <w:basedOn w:val="Normal"/>
    <w:link w:val="FootnoteTextChar"/>
    <w:uiPriority w:val="99"/>
    <w:semiHidden/>
    <w:unhideWhenUsed/>
    <w:rsid w:val="00D75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27D"/>
    <w:rPr>
      <w:sz w:val="20"/>
      <w:szCs w:val="20"/>
    </w:rPr>
  </w:style>
  <w:style w:type="character" w:styleId="FootnoteReference">
    <w:name w:val="footnote reference"/>
    <w:basedOn w:val="DefaultParagraphFont"/>
    <w:uiPriority w:val="99"/>
    <w:semiHidden/>
    <w:unhideWhenUsed/>
    <w:rsid w:val="00D7527D"/>
    <w:rPr>
      <w:vertAlign w:val="superscript"/>
    </w:rPr>
  </w:style>
  <w:style w:type="paragraph" w:styleId="EndnoteText">
    <w:name w:val="endnote text"/>
    <w:basedOn w:val="Normal"/>
    <w:link w:val="EndnoteTextChar"/>
    <w:semiHidden/>
    <w:rsid w:val="006C3AE7"/>
    <w:pPr>
      <w:spacing w:after="0"/>
    </w:pPr>
    <w:rPr>
      <w:rFonts w:ascii="Calibri" w:eastAsia="Times New Roman" w:hAnsi="Calibri" w:cs="Times New Roman"/>
      <w:bCs/>
      <w:sz w:val="20"/>
      <w:szCs w:val="20"/>
    </w:rPr>
  </w:style>
  <w:style w:type="character" w:customStyle="1" w:styleId="EndnoteTextChar">
    <w:name w:val="Endnote Text Char"/>
    <w:basedOn w:val="DefaultParagraphFont"/>
    <w:link w:val="EndnoteText"/>
    <w:semiHidden/>
    <w:rsid w:val="006C3AE7"/>
    <w:rPr>
      <w:rFonts w:ascii="Calibri" w:eastAsia="Times New Roman" w:hAnsi="Calibri" w:cs="Times New Roman"/>
      <w:bCs/>
      <w:sz w:val="20"/>
      <w:szCs w:val="20"/>
    </w:rPr>
  </w:style>
  <w:style w:type="table" w:styleId="TableGrid">
    <w:name w:val="Table Grid"/>
    <w:basedOn w:val="TableNormal"/>
    <w:uiPriority w:val="39"/>
    <w:rsid w:val="0026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A54A1"/>
    <w:pPr>
      <w:spacing w:before="120" w:line="240" w:lineRule="auto"/>
    </w:pPr>
    <w:rPr>
      <w:iCs/>
      <w:color w:val="1F497D" w:themeColor="text2"/>
      <w:sz w:val="20"/>
      <w:szCs w:val="18"/>
    </w:rPr>
  </w:style>
  <w:style w:type="paragraph" w:customStyle="1" w:styleId="HEADING">
    <w:name w:val="HEADING"/>
    <w:basedOn w:val="Normal"/>
    <w:rsid w:val="00BB4819"/>
    <w:pPr>
      <w:suppressAutoHyphens/>
      <w:spacing w:after="120" w:line="260" w:lineRule="exact"/>
    </w:pPr>
    <w:rPr>
      <w:rFonts w:eastAsia="Times New Roman" w:cs="Times New Roman"/>
      <w:b/>
      <w:sz w:val="19"/>
      <w:szCs w:val="20"/>
    </w:rPr>
  </w:style>
  <w:style w:type="character" w:customStyle="1" w:styleId="bodytext1">
    <w:name w:val="bodytext1"/>
    <w:rsid w:val="007A25AD"/>
    <w:rPr>
      <w:rFonts w:ascii="Verdana" w:hAnsi="Verdana" w:hint="default"/>
      <w:i w:val="0"/>
      <w:iCs w:val="0"/>
      <w:sz w:val="16"/>
      <w:szCs w:val="16"/>
    </w:rPr>
  </w:style>
  <w:style w:type="paragraph" w:styleId="Revision">
    <w:name w:val="Revision"/>
    <w:hidden/>
    <w:uiPriority w:val="99"/>
    <w:semiHidden/>
    <w:rsid w:val="006D42F0"/>
    <w:pPr>
      <w:spacing w:after="0" w:line="240" w:lineRule="auto"/>
    </w:pPr>
    <w:rPr>
      <w:rFonts w:ascii="Arial" w:hAnsi="Arial"/>
      <w:szCs w:val="24"/>
    </w:rPr>
  </w:style>
  <w:style w:type="character" w:customStyle="1" w:styleId="fontstyle01">
    <w:name w:val="fontstyle01"/>
    <w:basedOn w:val="DefaultParagraphFont"/>
    <w:rsid w:val="00FD02F1"/>
    <w:rPr>
      <w:rFonts w:ascii="Century Gothic" w:hAnsi="Century Gothic" w:hint="default"/>
      <w:b w:val="0"/>
      <w:bCs w:val="0"/>
      <w:i w:val="0"/>
      <w:iCs w:val="0"/>
      <w:color w:val="000000"/>
      <w:sz w:val="22"/>
      <w:szCs w:val="22"/>
    </w:rPr>
  </w:style>
  <w:style w:type="paragraph" w:customStyle="1" w:styleId="TableParagraph">
    <w:name w:val="Table Paragraph"/>
    <w:basedOn w:val="Normal"/>
    <w:uiPriority w:val="1"/>
    <w:qFormat/>
    <w:rsid w:val="00826D99"/>
    <w:pPr>
      <w:widowControl w:val="0"/>
      <w:autoSpaceDE w:val="0"/>
      <w:autoSpaceDN w:val="0"/>
      <w:spacing w:before="84" w:after="0" w:line="240" w:lineRule="auto"/>
      <w:ind w:right="204"/>
      <w:jc w:val="center"/>
    </w:pPr>
    <w:rPr>
      <w:rFonts w:ascii="Calibri" w:eastAsia="Calibri" w:hAnsi="Calibri" w:cs="Calibri"/>
      <w:szCs w:val="22"/>
    </w:rPr>
  </w:style>
  <w:style w:type="table" w:styleId="GridTable2-Accent1">
    <w:name w:val="Grid Table 2 Accent 1"/>
    <w:basedOn w:val="TableNormal"/>
    <w:uiPriority w:val="47"/>
    <w:rsid w:val="00826D99"/>
    <w:pPr>
      <w:widowControl w:val="0"/>
      <w:autoSpaceDE w:val="0"/>
      <w:autoSpaceDN w:val="0"/>
      <w:spacing w:after="0" w:line="240" w:lineRule="auto"/>
    </w:pPr>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605">
      <w:bodyDiv w:val="1"/>
      <w:marLeft w:val="0"/>
      <w:marRight w:val="0"/>
      <w:marTop w:val="0"/>
      <w:marBottom w:val="0"/>
      <w:divBdr>
        <w:top w:val="none" w:sz="0" w:space="0" w:color="auto"/>
        <w:left w:val="none" w:sz="0" w:space="0" w:color="auto"/>
        <w:bottom w:val="none" w:sz="0" w:space="0" w:color="auto"/>
        <w:right w:val="none" w:sz="0" w:space="0" w:color="auto"/>
      </w:divBdr>
      <w:divsChild>
        <w:div w:id="18189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40228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548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82500">
      <w:bodyDiv w:val="1"/>
      <w:marLeft w:val="0"/>
      <w:marRight w:val="0"/>
      <w:marTop w:val="0"/>
      <w:marBottom w:val="0"/>
      <w:divBdr>
        <w:top w:val="none" w:sz="0" w:space="0" w:color="auto"/>
        <w:left w:val="none" w:sz="0" w:space="0" w:color="auto"/>
        <w:bottom w:val="none" w:sz="0" w:space="0" w:color="auto"/>
        <w:right w:val="none" w:sz="0" w:space="0" w:color="auto"/>
      </w:divBdr>
    </w:div>
    <w:div w:id="178471038">
      <w:bodyDiv w:val="1"/>
      <w:marLeft w:val="0"/>
      <w:marRight w:val="0"/>
      <w:marTop w:val="0"/>
      <w:marBottom w:val="0"/>
      <w:divBdr>
        <w:top w:val="none" w:sz="0" w:space="0" w:color="auto"/>
        <w:left w:val="none" w:sz="0" w:space="0" w:color="auto"/>
        <w:bottom w:val="none" w:sz="0" w:space="0" w:color="auto"/>
        <w:right w:val="none" w:sz="0" w:space="0" w:color="auto"/>
      </w:divBdr>
    </w:div>
    <w:div w:id="199442179">
      <w:bodyDiv w:val="1"/>
      <w:marLeft w:val="0"/>
      <w:marRight w:val="0"/>
      <w:marTop w:val="0"/>
      <w:marBottom w:val="0"/>
      <w:divBdr>
        <w:top w:val="none" w:sz="0" w:space="0" w:color="auto"/>
        <w:left w:val="none" w:sz="0" w:space="0" w:color="auto"/>
        <w:bottom w:val="none" w:sz="0" w:space="0" w:color="auto"/>
        <w:right w:val="none" w:sz="0" w:space="0" w:color="auto"/>
      </w:divBdr>
    </w:div>
    <w:div w:id="221789821">
      <w:bodyDiv w:val="1"/>
      <w:marLeft w:val="0"/>
      <w:marRight w:val="0"/>
      <w:marTop w:val="0"/>
      <w:marBottom w:val="0"/>
      <w:divBdr>
        <w:top w:val="none" w:sz="0" w:space="0" w:color="auto"/>
        <w:left w:val="none" w:sz="0" w:space="0" w:color="auto"/>
        <w:bottom w:val="none" w:sz="0" w:space="0" w:color="auto"/>
        <w:right w:val="none" w:sz="0" w:space="0" w:color="auto"/>
      </w:divBdr>
    </w:div>
    <w:div w:id="664167529">
      <w:bodyDiv w:val="1"/>
      <w:marLeft w:val="0"/>
      <w:marRight w:val="0"/>
      <w:marTop w:val="0"/>
      <w:marBottom w:val="0"/>
      <w:divBdr>
        <w:top w:val="none" w:sz="0" w:space="0" w:color="auto"/>
        <w:left w:val="none" w:sz="0" w:space="0" w:color="auto"/>
        <w:bottom w:val="none" w:sz="0" w:space="0" w:color="auto"/>
        <w:right w:val="none" w:sz="0" w:space="0" w:color="auto"/>
      </w:divBdr>
    </w:div>
    <w:div w:id="985859124">
      <w:bodyDiv w:val="1"/>
      <w:marLeft w:val="0"/>
      <w:marRight w:val="0"/>
      <w:marTop w:val="0"/>
      <w:marBottom w:val="0"/>
      <w:divBdr>
        <w:top w:val="none" w:sz="0" w:space="0" w:color="auto"/>
        <w:left w:val="none" w:sz="0" w:space="0" w:color="auto"/>
        <w:bottom w:val="none" w:sz="0" w:space="0" w:color="auto"/>
        <w:right w:val="none" w:sz="0" w:space="0" w:color="auto"/>
      </w:divBdr>
    </w:div>
    <w:div w:id="1151218390">
      <w:bodyDiv w:val="1"/>
      <w:marLeft w:val="0"/>
      <w:marRight w:val="0"/>
      <w:marTop w:val="0"/>
      <w:marBottom w:val="0"/>
      <w:divBdr>
        <w:top w:val="none" w:sz="0" w:space="0" w:color="auto"/>
        <w:left w:val="none" w:sz="0" w:space="0" w:color="auto"/>
        <w:bottom w:val="none" w:sz="0" w:space="0" w:color="auto"/>
        <w:right w:val="none" w:sz="0" w:space="0" w:color="auto"/>
      </w:divBdr>
    </w:div>
    <w:div w:id="1211188475">
      <w:bodyDiv w:val="1"/>
      <w:marLeft w:val="0"/>
      <w:marRight w:val="0"/>
      <w:marTop w:val="0"/>
      <w:marBottom w:val="0"/>
      <w:divBdr>
        <w:top w:val="none" w:sz="0" w:space="0" w:color="auto"/>
        <w:left w:val="none" w:sz="0" w:space="0" w:color="auto"/>
        <w:bottom w:val="none" w:sz="0" w:space="0" w:color="auto"/>
        <w:right w:val="none" w:sz="0" w:space="0" w:color="auto"/>
      </w:divBdr>
    </w:div>
    <w:div w:id="1311398310">
      <w:bodyDiv w:val="1"/>
      <w:marLeft w:val="0"/>
      <w:marRight w:val="0"/>
      <w:marTop w:val="0"/>
      <w:marBottom w:val="0"/>
      <w:divBdr>
        <w:top w:val="none" w:sz="0" w:space="0" w:color="auto"/>
        <w:left w:val="none" w:sz="0" w:space="0" w:color="auto"/>
        <w:bottom w:val="none" w:sz="0" w:space="0" w:color="auto"/>
        <w:right w:val="none" w:sz="0" w:space="0" w:color="auto"/>
      </w:divBdr>
    </w:div>
    <w:div w:id="1405446816">
      <w:bodyDiv w:val="1"/>
      <w:marLeft w:val="0"/>
      <w:marRight w:val="0"/>
      <w:marTop w:val="0"/>
      <w:marBottom w:val="0"/>
      <w:divBdr>
        <w:top w:val="none" w:sz="0" w:space="0" w:color="auto"/>
        <w:left w:val="none" w:sz="0" w:space="0" w:color="auto"/>
        <w:bottom w:val="none" w:sz="0" w:space="0" w:color="auto"/>
        <w:right w:val="none" w:sz="0" w:space="0" w:color="auto"/>
      </w:divBdr>
      <w:divsChild>
        <w:div w:id="947469475">
          <w:marLeft w:val="0"/>
          <w:marRight w:val="0"/>
          <w:marTop w:val="0"/>
          <w:marBottom w:val="0"/>
          <w:divBdr>
            <w:top w:val="none" w:sz="0" w:space="0" w:color="auto"/>
            <w:left w:val="none" w:sz="0" w:space="0" w:color="auto"/>
            <w:bottom w:val="none" w:sz="0" w:space="0" w:color="auto"/>
            <w:right w:val="none" w:sz="0" w:space="0" w:color="auto"/>
          </w:divBdr>
        </w:div>
      </w:divsChild>
    </w:div>
    <w:div w:id="1695570603">
      <w:bodyDiv w:val="1"/>
      <w:marLeft w:val="0"/>
      <w:marRight w:val="0"/>
      <w:marTop w:val="0"/>
      <w:marBottom w:val="0"/>
      <w:divBdr>
        <w:top w:val="none" w:sz="0" w:space="0" w:color="auto"/>
        <w:left w:val="none" w:sz="0" w:space="0" w:color="auto"/>
        <w:bottom w:val="none" w:sz="0" w:space="0" w:color="auto"/>
        <w:right w:val="none" w:sz="0" w:space="0" w:color="auto"/>
      </w:divBdr>
    </w:div>
    <w:div w:id="1829516186">
      <w:bodyDiv w:val="1"/>
      <w:marLeft w:val="0"/>
      <w:marRight w:val="0"/>
      <w:marTop w:val="0"/>
      <w:marBottom w:val="0"/>
      <w:divBdr>
        <w:top w:val="none" w:sz="0" w:space="0" w:color="auto"/>
        <w:left w:val="none" w:sz="0" w:space="0" w:color="auto"/>
        <w:bottom w:val="none" w:sz="0" w:space="0" w:color="auto"/>
        <w:right w:val="none" w:sz="0" w:space="0" w:color="auto"/>
      </w:divBdr>
    </w:div>
    <w:div w:id="2032953814">
      <w:bodyDiv w:val="1"/>
      <w:marLeft w:val="0"/>
      <w:marRight w:val="0"/>
      <w:marTop w:val="0"/>
      <w:marBottom w:val="0"/>
      <w:divBdr>
        <w:top w:val="none" w:sz="0" w:space="0" w:color="auto"/>
        <w:left w:val="none" w:sz="0" w:space="0" w:color="auto"/>
        <w:bottom w:val="none" w:sz="0" w:space="0" w:color="auto"/>
        <w:right w:val="none" w:sz="0" w:space="0" w:color="auto"/>
      </w:divBdr>
    </w:div>
    <w:div w:id="2033653326">
      <w:bodyDiv w:val="1"/>
      <w:marLeft w:val="0"/>
      <w:marRight w:val="0"/>
      <w:marTop w:val="0"/>
      <w:marBottom w:val="0"/>
      <w:divBdr>
        <w:top w:val="none" w:sz="0" w:space="0" w:color="auto"/>
        <w:left w:val="none" w:sz="0" w:space="0" w:color="auto"/>
        <w:bottom w:val="none" w:sz="0" w:space="0" w:color="auto"/>
        <w:right w:val="none" w:sz="0" w:space="0" w:color="auto"/>
      </w:divBdr>
    </w:div>
    <w:div w:id="21025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ll\AppData\Roaming\Microsoft\Templates\HW%20permittiing%20report%20(update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EF54E-A7C1-4B15-ADC9-7CCF7684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 permittiing report (updated 2019)</Template>
  <TotalTime>1</TotalTime>
  <Pages>13</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aball</dc:creator>
  <cp:keywords/>
  <cp:lastModifiedBy>Ilana Quirk</cp:lastModifiedBy>
  <cp:revision>2</cp:revision>
  <cp:lastPrinted>2021-05-12T23:00:00Z</cp:lastPrinted>
  <dcterms:created xsi:type="dcterms:W3CDTF">2021-05-13T17:55:00Z</dcterms:created>
  <dcterms:modified xsi:type="dcterms:W3CDTF">2021-05-13T17:55:00Z</dcterms:modified>
</cp:coreProperties>
</file>